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9CC3C" w14:textId="7A6F0A11" w:rsidR="00EA2204" w:rsidRPr="00EA2204" w:rsidRDefault="00EA2204" w:rsidP="00EA2204">
      <w:pPr>
        <w:rPr>
          <w:rFonts w:ascii="Verdana" w:hAnsi="Verdana"/>
          <w:b/>
          <w:u w:val="single"/>
        </w:rPr>
      </w:pPr>
      <w:r w:rsidRPr="00EA2204">
        <w:rPr>
          <w:rFonts w:ascii="Verdana" w:hAnsi="Verdana"/>
          <w:b/>
          <w:u w:val="single"/>
        </w:rPr>
        <w:t xml:space="preserve">Human Rights Strategy – </w:t>
      </w:r>
      <w:r w:rsidR="00A02C36">
        <w:rPr>
          <w:rFonts w:ascii="Verdana" w:hAnsi="Verdana"/>
          <w:b/>
          <w:u w:val="single"/>
        </w:rPr>
        <w:t>20</w:t>
      </w:r>
      <w:r w:rsidR="004154FB">
        <w:rPr>
          <w:rFonts w:ascii="Verdana" w:hAnsi="Verdana"/>
          <w:b/>
          <w:u w:val="single"/>
        </w:rPr>
        <w:t>20</w:t>
      </w:r>
      <w:r w:rsidRPr="00EA2204">
        <w:rPr>
          <w:rFonts w:ascii="Verdana" w:hAnsi="Verdana"/>
          <w:b/>
          <w:u w:val="single"/>
        </w:rPr>
        <w:t>– introductory statement</w:t>
      </w:r>
    </w:p>
    <w:p w14:paraId="112CD49E" w14:textId="77777777" w:rsidR="00EA2204" w:rsidRPr="00EA2204" w:rsidRDefault="00EA2204" w:rsidP="00EA2204">
      <w:pPr>
        <w:rPr>
          <w:rFonts w:ascii="Verdana" w:hAnsi="Verdana"/>
          <w:b/>
          <w:u w:val="single"/>
        </w:rPr>
      </w:pPr>
    </w:p>
    <w:p w14:paraId="7FE57B6D" w14:textId="77777777" w:rsidR="00EA2204" w:rsidRPr="00EA2204" w:rsidRDefault="00EA2204" w:rsidP="00EA2204">
      <w:pPr>
        <w:rPr>
          <w:rFonts w:ascii="Verdana" w:hAnsi="Verdana"/>
        </w:rPr>
      </w:pPr>
      <w:r w:rsidRPr="00EA2204">
        <w:rPr>
          <w:rFonts w:ascii="Verdana" w:hAnsi="Verdana"/>
        </w:rPr>
        <w:t>Incorporating:</w:t>
      </w:r>
    </w:p>
    <w:p w14:paraId="21BCF01F" w14:textId="77777777" w:rsidR="00EA2204" w:rsidRPr="00EA2204" w:rsidRDefault="00EA2204" w:rsidP="00EA2204">
      <w:pPr>
        <w:numPr>
          <w:ilvl w:val="0"/>
          <w:numId w:val="35"/>
        </w:numPr>
        <w:rPr>
          <w:rFonts w:ascii="Verdana" w:hAnsi="Verdana"/>
        </w:rPr>
      </w:pPr>
      <w:r w:rsidRPr="00EA2204">
        <w:rPr>
          <w:rFonts w:ascii="Verdana" w:hAnsi="Verdana"/>
        </w:rPr>
        <w:t>the Mental Capacity Act (2005) (MCA)</w:t>
      </w:r>
    </w:p>
    <w:p w14:paraId="6854A1E9" w14:textId="77777777" w:rsidR="00EA2204" w:rsidRPr="00EA2204" w:rsidRDefault="00EA2204" w:rsidP="00EA2204">
      <w:pPr>
        <w:numPr>
          <w:ilvl w:val="0"/>
          <w:numId w:val="35"/>
        </w:numPr>
        <w:rPr>
          <w:rFonts w:ascii="Verdana" w:hAnsi="Verdana"/>
        </w:rPr>
      </w:pPr>
      <w:r>
        <w:rPr>
          <w:rFonts w:ascii="Verdana" w:hAnsi="Verdana"/>
        </w:rPr>
        <w:t xml:space="preserve">The </w:t>
      </w:r>
      <w:r w:rsidRPr="00EA2204">
        <w:rPr>
          <w:rFonts w:ascii="Verdana" w:hAnsi="Verdana"/>
        </w:rPr>
        <w:t>H</w:t>
      </w:r>
      <w:r>
        <w:rPr>
          <w:rFonts w:ascii="Verdana" w:hAnsi="Verdana"/>
        </w:rPr>
        <w:t xml:space="preserve">ealth and </w:t>
      </w:r>
      <w:r w:rsidRPr="00EA2204">
        <w:rPr>
          <w:rFonts w:ascii="Verdana" w:hAnsi="Verdana"/>
        </w:rPr>
        <w:t>S</w:t>
      </w:r>
      <w:r>
        <w:rPr>
          <w:rFonts w:ascii="Verdana" w:hAnsi="Verdana"/>
        </w:rPr>
        <w:t xml:space="preserve">ocial </w:t>
      </w:r>
      <w:r w:rsidRPr="00EA2204">
        <w:rPr>
          <w:rFonts w:ascii="Verdana" w:hAnsi="Verdana"/>
        </w:rPr>
        <w:t>C</w:t>
      </w:r>
      <w:r>
        <w:rPr>
          <w:rFonts w:ascii="Verdana" w:hAnsi="Verdana"/>
        </w:rPr>
        <w:t xml:space="preserve">are </w:t>
      </w:r>
      <w:r w:rsidRPr="00EA2204">
        <w:rPr>
          <w:rFonts w:ascii="Verdana" w:hAnsi="Verdana"/>
        </w:rPr>
        <w:t>A</w:t>
      </w:r>
      <w:r>
        <w:rPr>
          <w:rFonts w:ascii="Verdana" w:hAnsi="Verdana"/>
        </w:rPr>
        <w:t>ct 2008 – Dignity and Respect</w:t>
      </w:r>
      <w:r w:rsidR="00063867">
        <w:rPr>
          <w:rFonts w:ascii="Verdana" w:hAnsi="Verdana"/>
        </w:rPr>
        <w:t>/consent</w:t>
      </w:r>
    </w:p>
    <w:p w14:paraId="11D460E2" w14:textId="77777777" w:rsidR="00EA2204" w:rsidRPr="00EA2204" w:rsidRDefault="00EA2204" w:rsidP="00EA2204">
      <w:pPr>
        <w:numPr>
          <w:ilvl w:val="0"/>
          <w:numId w:val="35"/>
        </w:numPr>
        <w:rPr>
          <w:rFonts w:ascii="Verdana" w:hAnsi="Verdana"/>
        </w:rPr>
      </w:pPr>
      <w:r w:rsidRPr="00EA2204">
        <w:rPr>
          <w:rFonts w:ascii="Verdana" w:hAnsi="Verdana"/>
        </w:rPr>
        <w:t>The Equality Act 2010 (Equality and Diversity)</w:t>
      </w:r>
    </w:p>
    <w:p w14:paraId="1B956D89" w14:textId="77777777" w:rsidR="00EA2204" w:rsidRPr="00EA2204" w:rsidRDefault="00EA2204" w:rsidP="00EA2204">
      <w:pPr>
        <w:numPr>
          <w:ilvl w:val="0"/>
          <w:numId w:val="35"/>
        </w:numPr>
        <w:rPr>
          <w:rFonts w:ascii="Verdana" w:hAnsi="Verdana"/>
        </w:rPr>
      </w:pPr>
      <w:r w:rsidRPr="00EA2204">
        <w:rPr>
          <w:rFonts w:ascii="Verdana" w:hAnsi="Verdana"/>
        </w:rPr>
        <w:t>Human Rights Act 1998</w:t>
      </w:r>
    </w:p>
    <w:p w14:paraId="4E97D36C" w14:textId="77777777" w:rsidR="00EA2204" w:rsidRPr="00EA2204" w:rsidRDefault="00EA2204" w:rsidP="00EA2204">
      <w:pPr>
        <w:numPr>
          <w:ilvl w:val="0"/>
          <w:numId w:val="35"/>
        </w:numPr>
        <w:rPr>
          <w:rFonts w:ascii="Verdana" w:hAnsi="Verdana"/>
        </w:rPr>
      </w:pPr>
      <w:r w:rsidRPr="00EA2204">
        <w:rPr>
          <w:rFonts w:ascii="Verdana" w:hAnsi="Verdana"/>
        </w:rPr>
        <w:t xml:space="preserve">UN Convention on the Rights of Persons with Disabilities 2006 </w:t>
      </w:r>
    </w:p>
    <w:p w14:paraId="3196A7FB" w14:textId="77777777" w:rsidR="00EA2204" w:rsidRPr="00EA2204" w:rsidRDefault="00EA2204" w:rsidP="00EA2204">
      <w:pPr>
        <w:numPr>
          <w:ilvl w:val="0"/>
          <w:numId w:val="35"/>
        </w:numPr>
        <w:rPr>
          <w:rFonts w:ascii="Verdana" w:hAnsi="Verdana"/>
        </w:rPr>
      </w:pPr>
      <w:r w:rsidRPr="00EA2204">
        <w:rPr>
          <w:rFonts w:ascii="Verdana" w:hAnsi="Verdana"/>
        </w:rPr>
        <w:t>The Care Act 2014</w:t>
      </w:r>
    </w:p>
    <w:p w14:paraId="7BB7288A" w14:textId="77777777" w:rsidR="00EA2204" w:rsidRPr="00EA2204" w:rsidRDefault="00EA2204" w:rsidP="00EA2204">
      <w:pPr>
        <w:rPr>
          <w:rFonts w:ascii="Verdana" w:hAnsi="Verdana"/>
        </w:rPr>
      </w:pPr>
    </w:p>
    <w:p w14:paraId="3C9B269A" w14:textId="77777777" w:rsidR="00EA2204" w:rsidRPr="00EA2204" w:rsidRDefault="00EA2204" w:rsidP="00EA2204">
      <w:pPr>
        <w:rPr>
          <w:rFonts w:ascii="Verdana" w:hAnsi="Verdana"/>
        </w:rPr>
      </w:pPr>
      <w:r w:rsidRPr="00EA2204">
        <w:rPr>
          <w:rFonts w:ascii="Verdana" w:hAnsi="Verdana"/>
        </w:rPr>
        <w:t>It is important that all staff read this document and consider the implications for the organisation, themselves and the people experiencing our services.</w:t>
      </w:r>
    </w:p>
    <w:p w14:paraId="2724AE26" w14:textId="77777777" w:rsidR="00EA2204" w:rsidRPr="00EA2204" w:rsidRDefault="00EA2204" w:rsidP="00EA2204">
      <w:pPr>
        <w:rPr>
          <w:rFonts w:ascii="Verdana" w:hAnsi="Verdana"/>
        </w:rPr>
      </w:pPr>
    </w:p>
    <w:p w14:paraId="4539B73B" w14:textId="77777777" w:rsidR="00EA2204" w:rsidRPr="00EA2204" w:rsidRDefault="00EA2204" w:rsidP="00EA2204">
      <w:pPr>
        <w:rPr>
          <w:rFonts w:ascii="Verdana" w:hAnsi="Verdana"/>
        </w:rPr>
      </w:pPr>
      <w:r w:rsidRPr="00EA2204">
        <w:rPr>
          <w:rFonts w:ascii="Verdana" w:hAnsi="Verdana"/>
        </w:rPr>
        <w:t>We are currently reviewing our assessment and care planning systems to ensure that they encompass all the relevant principles which will enable us to evidence how we are upholding people’s rights.</w:t>
      </w:r>
    </w:p>
    <w:p w14:paraId="52371A97" w14:textId="77777777" w:rsidR="00EA2204" w:rsidRPr="00EA2204" w:rsidRDefault="00EA2204" w:rsidP="00EA2204">
      <w:pPr>
        <w:rPr>
          <w:rFonts w:ascii="Verdana" w:hAnsi="Verdana"/>
        </w:rPr>
      </w:pPr>
    </w:p>
    <w:p w14:paraId="2703E9A0" w14:textId="77777777" w:rsidR="00EA2204" w:rsidRPr="00EA2204" w:rsidRDefault="00EA2204" w:rsidP="00EA2204">
      <w:pPr>
        <w:rPr>
          <w:rFonts w:ascii="Verdana" w:hAnsi="Verdana"/>
        </w:rPr>
      </w:pPr>
      <w:r w:rsidRPr="00EA2204">
        <w:rPr>
          <w:rFonts w:ascii="Verdana" w:hAnsi="Verdana"/>
        </w:rPr>
        <w:t>This will not happen overnight.  The process has already started by the MCA training programme and the review of our assessment and care planning and review systems and templates.</w:t>
      </w:r>
    </w:p>
    <w:p w14:paraId="5C265FA3" w14:textId="77777777" w:rsidR="00EA2204" w:rsidRPr="00EA2204" w:rsidRDefault="00EA2204" w:rsidP="00EA2204">
      <w:pPr>
        <w:rPr>
          <w:rFonts w:ascii="Verdana" w:hAnsi="Verdana"/>
        </w:rPr>
      </w:pPr>
    </w:p>
    <w:p w14:paraId="472FD91D" w14:textId="77777777" w:rsidR="00EA2204" w:rsidRPr="00EA2204" w:rsidRDefault="00EA2204" w:rsidP="00EA2204">
      <w:pPr>
        <w:rPr>
          <w:rFonts w:ascii="Verdana" w:hAnsi="Verdana"/>
        </w:rPr>
      </w:pPr>
      <w:r w:rsidRPr="00EA2204">
        <w:rPr>
          <w:rFonts w:ascii="Verdana" w:hAnsi="Verdana"/>
        </w:rPr>
        <w:t>We are also developing an ongoing evidence based system whereby all staff will be demonstrating how they are working to and applying the concepts and principles through supervision. This will create a personal portfolio of evidence.</w:t>
      </w:r>
    </w:p>
    <w:p w14:paraId="11A912C4" w14:textId="77777777" w:rsidR="00EA2204" w:rsidRPr="00EA2204" w:rsidRDefault="00EA2204" w:rsidP="00EA2204">
      <w:pPr>
        <w:rPr>
          <w:rFonts w:ascii="Verdana" w:hAnsi="Verdana"/>
        </w:rPr>
      </w:pPr>
      <w:r w:rsidRPr="00EA2204">
        <w:rPr>
          <w:rFonts w:ascii="Verdana" w:hAnsi="Verdana"/>
        </w:rPr>
        <w:t xml:space="preserve"> </w:t>
      </w:r>
    </w:p>
    <w:p w14:paraId="1E41ABE4" w14:textId="77777777" w:rsidR="00EA2204" w:rsidRPr="00EA2204" w:rsidRDefault="00EA2204" w:rsidP="00EA2204">
      <w:pPr>
        <w:rPr>
          <w:rFonts w:ascii="Verdana" w:hAnsi="Verdana"/>
        </w:rPr>
      </w:pPr>
      <w:r w:rsidRPr="00EA2204">
        <w:rPr>
          <w:rFonts w:ascii="Verdana" w:hAnsi="Verdana"/>
        </w:rPr>
        <w:t>The underpinning principles and concepts and the equivalent Health and Social Care Act 2008 (2014 Regulations) must be explicit, used and referred to every day.  There cannot be an exception to this.</w:t>
      </w:r>
    </w:p>
    <w:p w14:paraId="586C16A1" w14:textId="77777777" w:rsidR="00EA2204" w:rsidRPr="00EA2204" w:rsidRDefault="00EA2204" w:rsidP="00EA2204">
      <w:pPr>
        <w:rPr>
          <w:rFonts w:ascii="Verdana" w:hAnsi="Verdana"/>
        </w:rPr>
      </w:pPr>
    </w:p>
    <w:p w14:paraId="45ACFF4C" w14:textId="669FEA6B" w:rsidR="00EA2204" w:rsidRPr="00EA2204" w:rsidRDefault="00D0781D" w:rsidP="00EA2204">
      <w:pPr>
        <w:rPr>
          <w:rFonts w:ascii="Verdana" w:hAnsi="Verdana"/>
        </w:rPr>
      </w:pPr>
      <w:r>
        <w:rPr>
          <w:rFonts w:ascii="Verdana" w:hAnsi="Verdana"/>
        </w:rPr>
        <w:t>Stanholm</w:t>
      </w:r>
      <w:r w:rsidR="00EA2204" w:rsidRPr="00EA2204">
        <w:rPr>
          <w:rFonts w:ascii="Verdana" w:hAnsi="Verdana"/>
        </w:rPr>
        <w:t xml:space="preserve"> is committed to ensuring that the principles and concepts are embedded in our ethos and culture to ensure that the service provided is outstanding, which in turn must create excellent quality of life for all people experiencing our service.</w:t>
      </w:r>
    </w:p>
    <w:p w14:paraId="18CAD42A" w14:textId="77777777" w:rsidR="00EA2204" w:rsidRPr="00EA2204" w:rsidRDefault="00EA2204" w:rsidP="00EA2204">
      <w:pPr>
        <w:numPr>
          <w:ilvl w:val="0"/>
          <w:numId w:val="32"/>
        </w:numPr>
        <w:rPr>
          <w:rFonts w:ascii="Verdana" w:hAnsi="Verdana"/>
        </w:rPr>
      </w:pPr>
      <w:r w:rsidRPr="00EA2204">
        <w:rPr>
          <w:rFonts w:ascii="Verdana" w:hAnsi="Verdana"/>
        </w:rPr>
        <w:t xml:space="preserve">They are not an optional add-on. </w:t>
      </w:r>
    </w:p>
    <w:p w14:paraId="383A02A9" w14:textId="77777777" w:rsidR="00EA2204" w:rsidRPr="00EA2204" w:rsidRDefault="00EA2204" w:rsidP="00EA2204">
      <w:pPr>
        <w:numPr>
          <w:ilvl w:val="0"/>
          <w:numId w:val="32"/>
        </w:numPr>
        <w:rPr>
          <w:rFonts w:ascii="Verdana" w:hAnsi="Verdana"/>
        </w:rPr>
      </w:pPr>
      <w:r w:rsidRPr="00EA2204">
        <w:rPr>
          <w:rFonts w:ascii="Verdana" w:hAnsi="Verdana"/>
        </w:rPr>
        <w:t xml:space="preserve">They must be the primary basis for all care delivered. They must “leap off every page”.  </w:t>
      </w:r>
    </w:p>
    <w:p w14:paraId="2484D81A" w14:textId="77777777" w:rsidR="00EA2204" w:rsidRPr="00EA2204" w:rsidRDefault="00EA2204" w:rsidP="00EA2204">
      <w:pPr>
        <w:numPr>
          <w:ilvl w:val="0"/>
          <w:numId w:val="32"/>
        </w:numPr>
        <w:rPr>
          <w:rFonts w:ascii="Verdana" w:hAnsi="Verdana"/>
        </w:rPr>
      </w:pPr>
      <w:r w:rsidRPr="00EA2204">
        <w:rPr>
          <w:rFonts w:ascii="Verdana" w:hAnsi="Verdana"/>
        </w:rPr>
        <w:t xml:space="preserve">All staff must realise that they have to learn, understand, embrace and work in a way which reflects these principles  </w:t>
      </w:r>
    </w:p>
    <w:p w14:paraId="17631498" w14:textId="77777777" w:rsidR="00EA2204" w:rsidRPr="00EA2204" w:rsidRDefault="00EA2204" w:rsidP="00EA2204">
      <w:pPr>
        <w:numPr>
          <w:ilvl w:val="0"/>
          <w:numId w:val="32"/>
        </w:numPr>
        <w:rPr>
          <w:rFonts w:ascii="Verdana" w:hAnsi="Verdana"/>
        </w:rPr>
      </w:pPr>
      <w:r w:rsidRPr="00EA2204">
        <w:rPr>
          <w:rFonts w:ascii="Verdana" w:hAnsi="Verdana"/>
        </w:rPr>
        <w:t>Rights and consent are the basis of all social care work today.</w:t>
      </w:r>
    </w:p>
    <w:p w14:paraId="4F19D912" w14:textId="77777777" w:rsidR="00EA2204" w:rsidRPr="00EA2204" w:rsidRDefault="00EA2204" w:rsidP="00EA2204">
      <w:pPr>
        <w:numPr>
          <w:ilvl w:val="0"/>
          <w:numId w:val="32"/>
        </w:numPr>
        <w:rPr>
          <w:rFonts w:ascii="Verdana" w:hAnsi="Verdana"/>
        </w:rPr>
      </w:pPr>
      <w:r w:rsidRPr="00EA2204">
        <w:rPr>
          <w:rFonts w:ascii="Verdana" w:hAnsi="Verdana"/>
        </w:rPr>
        <w:t>This is a different way of thinking, working and responding</w:t>
      </w:r>
    </w:p>
    <w:p w14:paraId="2DA956D1" w14:textId="77777777" w:rsidR="00EA2204" w:rsidRPr="00EA2204" w:rsidRDefault="00EA2204" w:rsidP="00EA2204">
      <w:pPr>
        <w:rPr>
          <w:rFonts w:ascii="Verdana" w:hAnsi="Verdana"/>
        </w:rPr>
      </w:pPr>
    </w:p>
    <w:p w14:paraId="54744A25" w14:textId="77777777" w:rsidR="00EA2204" w:rsidRPr="00EA2204" w:rsidRDefault="00EA2204" w:rsidP="00EA2204">
      <w:pPr>
        <w:rPr>
          <w:rFonts w:ascii="Verdana" w:hAnsi="Verdana"/>
          <w:b/>
        </w:rPr>
      </w:pPr>
      <w:r w:rsidRPr="00EA2204">
        <w:rPr>
          <w:rFonts w:ascii="Verdana" w:hAnsi="Verdana"/>
          <w:b/>
        </w:rPr>
        <w:t>Human Rights are based on:</w:t>
      </w:r>
    </w:p>
    <w:p w14:paraId="0C4D4C74" w14:textId="77777777" w:rsidR="00EA2204" w:rsidRPr="00EA2204" w:rsidRDefault="00EA2204" w:rsidP="00EA2204">
      <w:pPr>
        <w:numPr>
          <w:ilvl w:val="0"/>
          <w:numId w:val="37"/>
        </w:numPr>
        <w:rPr>
          <w:rFonts w:ascii="Verdana" w:hAnsi="Verdana"/>
        </w:rPr>
      </w:pPr>
      <w:r w:rsidRPr="00EA2204">
        <w:rPr>
          <w:rFonts w:ascii="Verdana" w:hAnsi="Verdana"/>
        </w:rPr>
        <w:t>Fairness</w:t>
      </w:r>
    </w:p>
    <w:p w14:paraId="0C7ABDE8" w14:textId="77777777" w:rsidR="00EA2204" w:rsidRPr="00EA2204" w:rsidRDefault="00EA2204" w:rsidP="00EA2204">
      <w:pPr>
        <w:numPr>
          <w:ilvl w:val="0"/>
          <w:numId w:val="37"/>
        </w:numPr>
        <w:rPr>
          <w:rFonts w:ascii="Verdana" w:hAnsi="Verdana"/>
        </w:rPr>
      </w:pPr>
      <w:r w:rsidRPr="00EA2204">
        <w:rPr>
          <w:rFonts w:ascii="Verdana" w:hAnsi="Verdana"/>
        </w:rPr>
        <w:t>Respect</w:t>
      </w:r>
    </w:p>
    <w:p w14:paraId="5BD436DC" w14:textId="77777777" w:rsidR="00EA2204" w:rsidRPr="00EA2204" w:rsidRDefault="00EA2204" w:rsidP="00EA2204">
      <w:pPr>
        <w:numPr>
          <w:ilvl w:val="0"/>
          <w:numId w:val="37"/>
        </w:numPr>
        <w:rPr>
          <w:rFonts w:ascii="Verdana" w:hAnsi="Verdana"/>
        </w:rPr>
      </w:pPr>
      <w:r w:rsidRPr="00EA2204">
        <w:rPr>
          <w:rFonts w:ascii="Verdana" w:hAnsi="Verdana"/>
        </w:rPr>
        <w:t>Equality</w:t>
      </w:r>
    </w:p>
    <w:p w14:paraId="77497DFF" w14:textId="77777777" w:rsidR="00EA2204" w:rsidRPr="00EA2204" w:rsidRDefault="00EA2204" w:rsidP="00EA2204">
      <w:pPr>
        <w:numPr>
          <w:ilvl w:val="0"/>
          <w:numId w:val="37"/>
        </w:numPr>
        <w:rPr>
          <w:rFonts w:ascii="Verdana" w:hAnsi="Verdana"/>
        </w:rPr>
      </w:pPr>
      <w:r w:rsidRPr="00EA2204">
        <w:rPr>
          <w:rFonts w:ascii="Verdana" w:hAnsi="Verdana"/>
        </w:rPr>
        <w:t>Dignity</w:t>
      </w:r>
    </w:p>
    <w:p w14:paraId="597384F0" w14:textId="77777777" w:rsidR="00EA2204" w:rsidRPr="00EA2204" w:rsidRDefault="00EA2204" w:rsidP="00EA2204">
      <w:pPr>
        <w:numPr>
          <w:ilvl w:val="0"/>
          <w:numId w:val="37"/>
        </w:numPr>
        <w:rPr>
          <w:rFonts w:ascii="Verdana" w:hAnsi="Verdana"/>
        </w:rPr>
      </w:pPr>
      <w:r w:rsidRPr="00EA2204">
        <w:rPr>
          <w:rFonts w:ascii="Verdana" w:hAnsi="Verdana"/>
        </w:rPr>
        <w:t>Autonomy</w:t>
      </w:r>
    </w:p>
    <w:p w14:paraId="3FBFDB35" w14:textId="77777777" w:rsidR="00EA2204" w:rsidRPr="00EA2204" w:rsidRDefault="00EA2204" w:rsidP="00EA2204">
      <w:pPr>
        <w:numPr>
          <w:ilvl w:val="0"/>
          <w:numId w:val="37"/>
        </w:numPr>
        <w:rPr>
          <w:rFonts w:ascii="Verdana" w:hAnsi="Verdana"/>
        </w:rPr>
      </w:pPr>
      <w:r w:rsidRPr="00EA2204">
        <w:rPr>
          <w:rFonts w:ascii="Verdana" w:hAnsi="Verdana"/>
        </w:rPr>
        <w:t>Right to Life</w:t>
      </w:r>
    </w:p>
    <w:p w14:paraId="3E4948EF" w14:textId="77777777" w:rsidR="00EA2204" w:rsidRPr="00EA2204" w:rsidRDefault="00EA2204" w:rsidP="00EA2204">
      <w:pPr>
        <w:numPr>
          <w:ilvl w:val="0"/>
          <w:numId w:val="37"/>
        </w:numPr>
        <w:rPr>
          <w:rFonts w:ascii="Verdana" w:hAnsi="Verdana"/>
        </w:rPr>
      </w:pPr>
      <w:r w:rsidRPr="00EA2204">
        <w:rPr>
          <w:rFonts w:ascii="Verdana" w:hAnsi="Verdana"/>
        </w:rPr>
        <w:t>Staff rights and empowerment</w:t>
      </w:r>
    </w:p>
    <w:p w14:paraId="1C7FDA02" w14:textId="77777777" w:rsidR="00EA2204" w:rsidRDefault="00EA2204" w:rsidP="00EA2204">
      <w:pPr>
        <w:rPr>
          <w:rFonts w:ascii="Verdana" w:hAnsi="Verdana"/>
          <w:b/>
        </w:rPr>
      </w:pPr>
    </w:p>
    <w:p w14:paraId="6FDB48C1" w14:textId="77777777" w:rsidR="00EA2204" w:rsidRPr="00EA2204" w:rsidRDefault="00EA2204" w:rsidP="00EA2204">
      <w:pPr>
        <w:rPr>
          <w:rFonts w:ascii="Verdana" w:hAnsi="Verdana"/>
          <w:b/>
        </w:rPr>
      </w:pPr>
    </w:p>
    <w:p w14:paraId="4A82FFA3" w14:textId="77777777" w:rsidR="00EA2204" w:rsidRPr="00EA2204" w:rsidRDefault="00EA2204" w:rsidP="00EA2204">
      <w:pPr>
        <w:rPr>
          <w:rFonts w:ascii="Verdana" w:hAnsi="Verdana"/>
        </w:rPr>
      </w:pPr>
      <w:r w:rsidRPr="00EA2204">
        <w:rPr>
          <w:rFonts w:ascii="Verdana" w:hAnsi="Verdana"/>
          <w:b/>
        </w:rPr>
        <w:t>Equality and Diversity will be based on the protected characteristics</w:t>
      </w:r>
      <w:r w:rsidRPr="00EA2204">
        <w:rPr>
          <w:rFonts w:ascii="Verdana" w:hAnsi="Verdana"/>
        </w:rPr>
        <w:t>:</w:t>
      </w:r>
    </w:p>
    <w:p w14:paraId="1E95DCDE" w14:textId="77777777" w:rsidR="00EA2204" w:rsidRPr="00EA2204" w:rsidRDefault="00EA2204" w:rsidP="00EA2204">
      <w:pPr>
        <w:numPr>
          <w:ilvl w:val="0"/>
          <w:numId w:val="38"/>
        </w:numPr>
        <w:rPr>
          <w:rFonts w:ascii="Verdana" w:hAnsi="Verdana"/>
          <w:iCs/>
        </w:rPr>
      </w:pPr>
      <w:r w:rsidRPr="00EA2204">
        <w:rPr>
          <w:rFonts w:ascii="Verdana" w:hAnsi="Verdana"/>
          <w:iCs/>
        </w:rPr>
        <w:t>Age</w:t>
      </w:r>
    </w:p>
    <w:p w14:paraId="76470384" w14:textId="77777777" w:rsidR="00EA2204" w:rsidRPr="00EA2204" w:rsidRDefault="00EA2204" w:rsidP="00EA2204">
      <w:pPr>
        <w:numPr>
          <w:ilvl w:val="0"/>
          <w:numId w:val="38"/>
        </w:numPr>
        <w:rPr>
          <w:rFonts w:ascii="Verdana" w:hAnsi="Verdana"/>
          <w:iCs/>
        </w:rPr>
      </w:pPr>
      <w:r w:rsidRPr="00EA2204">
        <w:rPr>
          <w:rFonts w:ascii="Verdana" w:hAnsi="Verdana"/>
          <w:iCs/>
        </w:rPr>
        <w:t>Disability</w:t>
      </w:r>
    </w:p>
    <w:p w14:paraId="1D5EDB1D" w14:textId="77777777" w:rsidR="00EA2204" w:rsidRPr="00EA2204" w:rsidRDefault="00EA2204" w:rsidP="00EA2204">
      <w:pPr>
        <w:numPr>
          <w:ilvl w:val="0"/>
          <w:numId w:val="38"/>
        </w:numPr>
        <w:rPr>
          <w:rFonts w:ascii="Verdana" w:hAnsi="Verdana"/>
          <w:iCs/>
        </w:rPr>
      </w:pPr>
      <w:r w:rsidRPr="00EA2204">
        <w:rPr>
          <w:rFonts w:ascii="Verdana" w:hAnsi="Verdana"/>
          <w:iCs/>
        </w:rPr>
        <w:t>Gender reassignment</w:t>
      </w:r>
    </w:p>
    <w:p w14:paraId="5B089A43" w14:textId="77777777" w:rsidR="00EA2204" w:rsidRPr="00EA2204" w:rsidRDefault="00EA2204" w:rsidP="00EA2204">
      <w:pPr>
        <w:numPr>
          <w:ilvl w:val="0"/>
          <w:numId w:val="38"/>
        </w:numPr>
        <w:rPr>
          <w:rFonts w:ascii="Verdana" w:hAnsi="Verdana"/>
          <w:iCs/>
        </w:rPr>
      </w:pPr>
      <w:r w:rsidRPr="00EA2204">
        <w:rPr>
          <w:rFonts w:ascii="Verdana" w:hAnsi="Verdana"/>
          <w:iCs/>
        </w:rPr>
        <w:t>Marriage and civil partnership</w:t>
      </w:r>
    </w:p>
    <w:p w14:paraId="7412D50D" w14:textId="77777777" w:rsidR="00EA2204" w:rsidRPr="00EA2204" w:rsidRDefault="00EA2204" w:rsidP="00EA2204">
      <w:pPr>
        <w:numPr>
          <w:ilvl w:val="0"/>
          <w:numId w:val="38"/>
        </w:numPr>
        <w:rPr>
          <w:rFonts w:ascii="Verdana" w:hAnsi="Verdana"/>
          <w:iCs/>
        </w:rPr>
      </w:pPr>
      <w:r w:rsidRPr="00EA2204">
        <w:rPr>
          <w:rFonts w:ascii="Verdana" w:hAnsi="Verdana"/>
          <w:iCs/>
        </w:rPr>
        <w:t>Pregnancy and maternity</w:t>
      </w:r>
    </w:p>
    <w:p w14:paraId="11845653" w14:textId="77777777" w:rsidR="00EA2204" w:rsidRPr="00EA2204" w:rsidRDefault="00EA2204" w:rsidP="00EA2204">
      <w:pPr>
        <w:numPr>
          <w:ilvl w:val="0"/>
          <w:numId w:val="38"/>
        </w:numPr>
        <w:rPr>
          <w:rFonts w:ascii="Verdana" w:hAnsi="Verdana"/>
          <w:iCs/>
        </w:rPr>
      </w:pPr>
      <w:r w:rsidRPr="00EA2204">
        <w:rPr>
          <w:rFonts w:ascii="Verdana" w:hAnsi="Verdana"/>
          <w:iCs/>
        </w:rPr>
        <w:t>Race</w:t>
      </w:r>
    </w:p>
    <w:p w14:paraId="1CF078B5" w14:textId="77777777" w:rsidR="00EA2204" w:rsidRPr="00EA2204" w:rsidRDefault="00EA2204" w:rsidP="00EA2204">
      <w:pPr>
        <w:numPr>
          <w:ilvl w:val="0"/>
          <w:numId w:val="38"/>
        </w:numPr>
        <w:rPr>
          <w:rFonts w:ascii="Verdana" w:hAnsi="Verdana"/>
          <w:iCs/>
        </w:rPr>
      </w:pPr>
      <w:r w:rsidRPr="00EA2204">
        <w:rPr>
          <w:rFonts w:ascii="Verdana" w:hAnsi="Verdana"/>
          <w:iCs/>
        </w:rPr>
        <w:t>Religion or belief</w:t>
      </w:r>
    </w:p>
    <w:p w14:paraId="50538754" w14:textId="77777777" w:rsidR="00EA2204" w:rsidRPr="00EA2204" w:rsidRDefault="00EA2204" w:rsidP="00EA2204">
      <w:pPr>
        <w:numPr>
          <w:ilvl w:val="0"/>
          <w:numId w:val="38"/>
        </w:numPr>
        <w:rPr>
          <w:rFonts w:ascii="Verdana" w:hAnsi="Verdana"/>
        </w:rPr>
      </w:pPr>
      <w:r w:rsidRPr="00EA2204">
        <w:rPr>
          <w:rFonts w:ascii="Verdana" w:hAnsi="Verdana"/>
          <w:iCs/>
        </w:rPr>
        <w:t>Sex and sexual orientation</w:t>
      </w:r>
    </w:p>
    <w:p w14:paraId="2F7B779C" w14:textId="77777777" w:rsidR="00EA2204" w:rsidRPr="00EA2204" w:rsidRDefault="00EA2204" w:rsidP="00EA2204">
      <w:pPr>
        <w:rPr>
          <w:rFonts w:ascii="Verdana" w:hAnsi="Verdana"/>
          <w:b/>
        </w:rPr>
      </w:pPr>
    </w:p>
    <w:p w14:paraId="2EA86A33" w14:textId="77777777" w:rsidR="00EA2204" w:rsidRPr="00EA2204" w:rsidRDefault="00EA2204" w:rsidP="00EA2204">
      <w:pPr>
        <w:rPr>
          <w:rFonts w:ascii="Verdana" w:hAnsi="Verdana"/>
          <w:b/>
        </w:rPr>
      </w:pPr>
    </w:p>
    <w:p w14:paraId="0DFEE7CB" w14:textId="77777777" w:rsidR="00EA2204" w:rsidRPr="00EA2204" w:rsidRDefault="00EA2204" w:rsidP="00EA2204">
      <w:pPr>
        <w:rPr>
          <w:rFonts w:ascii="Verdana" w:hAnsi="Verdana"/>
          <w:b/>
        </w:rPr>
      </w:pPr>
      <w:r w:rsidRPr="00EA2204">
        <w:rPr>
          <w:rFonts w:ascii="Verdana" w:hAnsi="Verdana"/>
          <w:b/>
        </w:rPr>
        <w:t>Dignity and Respect will be based on the eight key concepts:</w:t>
      </w:r>
    </w:p>
    <w:p w14:paraId="070F123E" w14:textId="77777777" w:rsidR="00EA2204" w:rsidRPr="00EA2204" w:rsidRDefault="00EA2204" w:rsidP="00EA2204">
      <w:pPr>
        <w:numPr>
          <w:ilvl w:val="0"/>
          <w:numId w:val="36"/>
        </w:numPr>
        <w:rPr>
          <w:rFonts w:ascii="Verdana" w:hAnsi="Verdana"/>
        </w:rPr>
      </w:pPr>
      <w:r w:rsidRPr="00EA2204">
        <w:rPr>
          <w:rFonts w:ascii="Verdana" w:hAnsi="Verdana"/>
        </w:rPr>
        <w:t>Choice and control</w:t>
      </w:r>
    </w:p>
    <w:p w14:paraId="683B908A" w14:textId="77777777" w:rsidR="00EA2204" w:rsidRPr="00EA2204" w:rsidRDefault="00EA2204" w:rsidP="00EA2204">
      <w:pPr>
        <w:numPr>
          <w:ilvl w:val="0"/>
          <w:numId w:val="36"/>
        </w:numPr>
        <w:rPr>
          <w:rFonts w:ascii="Verdana" w:hAnsi="Verdana"/>
        </w:rPr>
      </w:pPr>
      <w:r w:rsidRPr="00EA2204">
        <w:rPr>
          <w:rFonts w:ascii="Verdana" w:hAnsi="Verdana"/>
        </w:rPr>
        <w:t>Communication</w:t>
      </w:r>
    </w:p>
    <w:p w14:paraId="5024EAEE" w14:textId="77777777" w:rsidR="00EA2204" w:rsidRPr="00EA2204" w:rsidRDefault="00EA2204" w:rsidP="00EA2204">
      <w:pPr>
        <w:numPr>
          <w:ilvl w:val="0"/>
          <w:numId w:val="36"/>
        </w:numPr>
        <w:rPr>
          <w:rFonts w:ascii="Verdana" w:hAnsi="Verdana"/>
        </w:rPr>
      </w:pPr>
      <w:r w:rsidRPr="00EA2204">
        <w:rPr>
          <w:rFonts w:ascii="Verdana" w:hAnsi="Verdana"/>
        </w:rPr>
        <w:t>Eating and nutritional care</w:t>
      </w:r>
    </w:p>
    <w:p w14:paraId="33557C69" w14:textId="77777777" w:rsidR="00EA2204" w:rsidRPr="00EA2204" w:rsidRDefault="00EA2204" w:rsidP="00EA2204">
      <w:pPr>
        <w:numPr>
          <w:ilvl w:val="0"/>
          <w:numId w:val="36"/>
        </w:numPr>
        <w:rPr>
          <w:rFonts w:ascii="Verdana" w:hAnsi="Verdana"/>
        </w:rPr>
      </w:pPr>
      <w:r w:rsidRPr="00EA2204">
        <w:rPr>
          <w:rFonts w:ascii="Verdana" w:hAnsi="Verdana"/>
        </w:rPr>
        <w:t>Pain management</w:t>
      </w:r>
    </w:p>
    <w:p w14:paraId="71929AB6" w14:textId="77777777" w:rsidR="00EA2204" w:rsidRPr="00EA2204" w:rsidRDefault="00EA2204" w:rsidP="00EA2204">
      <w:pPr>
        <w:numPr>
          <w:ilvl w:val="0"/>
          <w:numId w:val="36"/>
        </w:numPr>
        <w:rPr>
          <w:rFonts w:ascii="Verdana" w:hAnsi="Verdana"/>
        </w:rPr>
      </w:pPr>
      <w:r w:rsidRPr="00EA2204">
        <w:rPr>
          <w:rFonts w:ascii="Verdana" w:hAnsi="Verdana"/>
        </w:rPr>
        <w:t>Personal hygiene</w:t>
      </w:r>
    </w:p>
    <w:p w14:paraId="20463EC4" w14:textId="77777777" w:rsidR="00EA2204" w:rsidRPr="00EA2204" w:rsidRDefault="00EA2204" w:rsidP="00EA2204">
      <w:pPr>
        <w:numPr>
          <w:ilvl w:val="0"/>
          <w:numId w:val="36"/>
        </w:numPr>
        <w:rPr>
          <w:rFonts w:ascii="Verdana" w:hAnsi="Verdana"/>
        </w:rPr>
      </w:pPr>
      <w:r w:rsidRPr="00EA2204">
        <w:rPr>
          <w:rFonts w:ascii="Verdana" w:hAnsi="Verdana"/>
        </w:rPr>
        <w:t>Practical assistance</w:t>
      </w:r>
    </w:p>
    <w:p w14:paraId="41E2A86A" w14:textId="77777777" w:rsidR="00EA2204" w:rsidRPr="00EA2204" w:rsidRDefault="00EA2204" w:rsidP="00EA2204">
      <w:pPr>
        <w:numPr>
          <w:ilvl w:val="0"/>
          <w:numId w:val="36"/>
        </w:numPr>
        <w:rPr>
          <w:rFonts w:ascii="Verdana" w:hAnsi="Verdana"/>
        </w:rPr>
      </w:pPr>
      <w:r w:rsidRPr="00EA2204">
        <w:rPr>
          <w:rFonts w:ascii="Verdana" w:hAnsi="Verdana"/>
        </w:rPr>
        <w:t>Privacy</w:t>
      </w:r>
    </w:p>
    <w:p w14:paraId="2F63C1BA" w14:textId="77777777" w:rsidR="00EA2204" w:rsidRPr="00EA2204" w:rsidRDefault="00EA2204" w:rsidP="00EA2204">
      <w:pPr>
        <w:numPr>
          <w:ilvl w:val="0"/>
          <w:numId w:val="36"/>
        </w:numPr>
        <w:rPr>
          <w:rFonts w:ascii="Verdana" w:hAnsi="Verdana"/>
        </w:rPr>
      </w:pPr>
      <w:r w:rsidRPr="00EA2204">
        <w:rPr>
          <w:rFonts w:ascii="Verdana" w:hAnsi="Verdana"/>
        </w:rPr>
        <w:t>Social inclusion</w:t>
      </w:r>
    </w:p>
    <w:p w14:paraId="210BC088" w14:textId="77777777" w:rsidR="00EA2204" w:rsidRPr="00EA2204" w:rsidRDefault="00EA2204" w:rsidP="00EA2204">
      <w:pPr>
        <w:rPr>
          <w:rFonts w:ascii="Verdana" w:hAnsi="Verdana"/>
        </w:rPr>
      </w:pPr>
    </w:p>
    <w:p w14:paraId="5AE5F194" w14:textId="77777777" w:rsidR="00EA2204" w:rsidRPr="00EA2204" w:rsidRDefault="00EA2204" w:rsidP="00EA2204">
      <w:pPr>
        <w:rPr>
          <w:rFonts w:ascii="Verdana" w:hAnsi="Verdana"/>
        </w:rPr>
      </w:pPr>
    </w:p>
    <w:p w14:paraId="4271A23E" w14:textId="77777777" w:rsidR="00EA2204" w:rsidRPr="00EA2204" w:rsidRDefault="00EA2204" w:rsidP="00EA2204">
      <w:pPr>
        <w:rPr>
          <w:rFonts w:ascii="Verdana" w:hAnsi="Verdana"/>
          <w:b/>
        </w:rPr>
      </w:pPr>
      <w:r w:rsidRPr="00EA2204">
        <w:rPr>
          <w:rFonts w:ascii="Verdana" w:hAnsi="Verdana"/>
          <w:b/>
        </w:rPr>
        <w:t>Six “C” values underpinning Compassion in Practice</w:t>
      </w:r>
    </w:p>
    <w:p w14:paraId="1C69F872" w14:textId="77777777" w:rsidR="00EA2204" w:rsidRPr="00EA2204" w:rsidRDefault="00EA2204" w:rsidP="00EA2204">
      <w:pPr>
        <w:numPr>
          <w:ilvl w:val="0"/>
          <w:numId w:val="40"/>
        </w:numPr>
        <w:rPr>
          <w:rFonts w:ascii="Verdana" w:hAnsi="Verdana"/>
        </w:rPr>
      </w:pPr>
      <w:r w:rsidRPr="00EA2204">
        <w:rPr>
          <w:rFonts w:ascii="Verdana" w:hAnsi="Verdana"/>
        </w:rPr>
        <w:t>Care</w:t>
      </w:r>
    </w:p>
    <w:p w14:paraId="286CF1AD" w14:textId="77777777" w:rsidR="00EA2204" w:rsidRPr="00EA2204" w:rsidRDefault="00EA2204" w:rsidP="00EA2204">
      <w:pPr>
        <w:numPr>
          <w:ilvl w:val="0"/>
          <w:numId w:val="40"/>
        </w:numPr>
        <w:rPr>
          <w:rFonts w:ascii="Verdana" w:hAnsi="Verdana"/>
        </w:rPr>
      </w:pPr>
      <w:r w:rsidRPr="00EA2204">
        <w:rPr>
          <w:rFonts w:ascii="Verdana" w:hAnsi="Verdana"/>
        </w:rPr>
        <w:t>Compassion</w:t>
      </w:r>
    </w:p>
    <w:p w14:paraId="76803F87" w14:textId="77777777" w:rsidR="00EA2204" w:rsidRPr="00EA2204" w:rsidRDefault="00EA2204" w:rsidP="00EA2204">
      <w:pPr>
        <w:numPr>
          <w:ilvl w:val="0"/>
          <w:numId w:val="40"/>
        </w:numPr>
        <w:rPr>
          <w:rFonts w:ascii="Verdana" w:hAnsi="Verdana"/>
        </w:rPr>
      </w:pPr>
      <w:r w:rsidRPr="00EA2204">
        <w:rPr>
          <w:rFonts w:ascii="Verdana" w:hAnsi="Verdana"/>
        </w:rPr>
        <w:t>Competence</w:t>
      </w:r>
    </w:p>
    <w:p w14:paraId="31121B66" w14:textId="77777777" w:rsidR="00EA2204" w:rsidRPr="00EA2204" w:rsidRDefault="00EA2204" w:rsidP="00EA2204">
      <w:pPr>
        <w:numPr>
          <w:ilvl w:val="0"/>
          <w:numId w:val="40"/>
        </w:numPr>
        <w:rPr>
          <w:rFonts w:ascii="Verdana" w:hAnsi="Verdana"/>
        </w:rPr>
      </w:pPr>
      <w:r w:rsidRPr="00EA2204">
        <w:rPr>
          <w:rFonts w:ascii="Verdana" w:hAnsi="Verdana"/>
        </w:rPr>
        <w:t>Communication</w:t>
      </w:r>
    </w:p>
    <w:p w14:paraId="1EB1ED8D" w14:textId="77777777" w:rsidR="00EA2204" w:rsidRPr="00EA2204" w:rsidRDefault="00EA2204" w:rsidP="00EA2204">
      <w:pPr>
        <w:numPr>
          <w:ilvl w:val="0"/>
          <w:numId w:val="40"/>
        </w:numPr>
        <w:rPr>
          <w:rFonts w:ascii="Verdana" w:hAnsi="Verdana"/>
        </w:rPr>
      </w:pPr>
      <w:r w:rsidRPr="00EA2204">
        <w:rPr>
          <w:rFonts w:ascii="Verdana" w:hAnsi="Verdana"/>
        </w:rPr>
        <w:t>Courage</w:t>
      </w:r>
    </w:p>
    <w:p w14:paraId="2AF2F75E" w14:textId="77777777" w:rsidR="00EA2204" w:rsidRPr="00EA2204" w:rsidRDefault="00EA2204" w:rsidP="00EA2204">
      <w:pPr>
        <w:numPr>
          <w:ilvl w:val="0"/>
          <w:numId w:val="40"/>
        </w:numPr>
        <w:rPr>
          <w:rFonts w:ascii="Verdana" w:hAnsi="Verdana"/>
        </w:rPr>
      </w:pPr>
      <w:r w:rsidRPr="00EA2204">
        <w:rPr>
          <w:rFonts w:ascii="Verdana" w:hAnsi="Verdana"/>
        </w:rPr>
        <w:t>Commitment</w:t>
      </w:r>
    </w:p>
    <w:p w14:paraId="46088D04" w14:textId="77777777" w:rsidR="00EA2204" w:rsidRDefault="00EA2204" w:rsidP="00EA2204">
      <w:pPr>
        <w:rPr>
          <w:rFonts w:ascii="Verdana" w:hAnsi="Verdana"/>
        </w:rPr>
      </w:pPr>
    </w:p>
    <w:p w14:paraId="5116B150" w14:textId="77777777" w:rsidR="0094584B" w:rsidRDefault="0094584B" w:rsidP="00EA2204">
      <w:pPr>
        <w:rPr>
          <w:rFonts w:ascii="Verdana" w:hAnsi="Verdana"/>
        </w:rPr>
      </w:pPr>
    </w:p>
    <w:p w14:paraId="6E9D2240" w14:textId="77777777" w:rsidR="00E53251" w:rsidRPr="0094584B" w:rsidRDefault="0094584B" w:rsidP="00EA2204">
      <w:pPr>
        <w:rPr>
          <w:rFonts w:ascii="Verdana" w:hAnsi="Verdana"/>
          <w:b/>
          <w:color w:val="FF0000"/>
        </w:rPr>
      </w:pPr>
      <w:r w:rsidRPr="0094584B">
        <w:rPr>
          <w:rFonts w:ascii="Verdana" w:hAnsi="Verdana"/>
          <w:b/>
        </w:rPr>
        <w:t xml:space="preserve">Six Safeguarding Principles </w:t>
      </w:r>
    </w:p>
    <w:p w14:paraId="1D37E970" w14:textId="77777777" w:rsidR="0094584B" w:rsidRDefault="0094584B" w:rsidP="00EA2204">
      <w:pPr>
        <w:rPr>
          <w:rFonts w:ascii="Verdana" w:hAnsi="Verdana"/>
        </w:rPr>
      </w:pPr>
      <w:r>
        <w:rPr>
          <w:rFonts w:ascii="Verdana" w:hAnsi="Verdana"/>
        </w:rPr>
        <w:t>Empowerment</w:t>
      </w:r>
    </w:p>
    <w:p w14:paraId="05032EA7" w14:textId="77777777" w:rsidR="0094584B" w:rsidRDefault="0094584B" w:rsidP="00EA2204">
      <w:pPr>
        <w:rPr>
          <w:rFonts w:ascii="Verdana" w:hAnsi="Verdana"/>
        </w:rPr>
      </w:pPr>
      <w:r>
        <w:rPr>
          <w:rFonts w:ascii="Verdana" w:hAnsi="Verdana"/>
        </w:rPr>
        <w:t>Prevention</w:t>
      </w:r>
    </w:p>
    <w:p w14:paraId="662182A6" w14:textId="77777777" w:rsidR="0094584B" w:rsidRDefault="0094584B" w:rsidP="00EA2204">
      <w:pPr>
        <w:rPr>
          <w:rFonts w:ascii="Verdana" w:hAnsi="Verdana"/>
        </w:rPr>
      </w:pPr>
      <w:r>
        <w:rPr>
          <w:rFonts w:ascii="Verdana" w:hAnsi="Verdana"/>
        </w:rPr>
        <w:t>Proportionality</w:t>
      </w:r>
    </w:p>
    <w:p w14:paraId="2E9E0D2C" w14:textId="77777777" w:rsidR="0094584B" w:rsidRDefault="0094584B" w:rsidP="00EA2204">
      <w:pPr>
        <w:rPr>
          <w:rFonts w:ascii="Verdana" w:hAnsi="Verdana"/>
        </w:rPr>
      </w:pPr>
      <w:r>
        <w:rPr>
          <w:rFonts w:ascii="Verdana" w:hAnsi="Verdana"/>
        </w:rPr>
        <w:t>Protection</w:t>
      </w:r>
    </w:p>
    <w:p w14:paraId="006C15EC" w14:textId="77777777" w:rsidR="0094584B" w:rsidRDefault="0094584B" w:rsidP="00EA2204">
      <w:pPr>
        <w:rPr>
          <w:rFonts w:ascii="Verdana" w:hAnsi="Verdana"/>
        </w:rPr>
      </w:pPr>
      <w:r>
        <w:rPr>
          <w:rFonts w:ascii="Verdana" w:hAnsi="Verdana"/>
        </w:rPr>
        <w:t>Partnership</w:t>
      </w:r>
    </w:p>
    <w:p w14:paraId="4D91B668" w14:textId="77777777" w:rsidR="0094584B" w:rsidRPr="0094584B" w:rsidRDefault="0094584B" w:rsidP="00EA2204">
      <w:pPr>
        <w:rPr>
          <w:rFonts w:ascii="Verdana" w:hAnsi="Verdana"/>
        </w:rPr>
      </w:pPr>
      <w:r>
        <w:rPr>
          <w:rFonts w:ascii="Verdana" w:hAnsi="Verdana"/>
        </w:rPr>
        <w:t>Accountability</w:t>
      </w:r>
    </w:p>
    <w:p w14:paraId="6A0F8C0C" w14:textId="77777777" w:rsidR="00EA2204" w:rsidRDefault="00EA2204" w:rsidP="00EA2204">
      <w:pPr>
        <w:rPr>
          <w:rFonts w:ascii="Verdana" w:hAnsi="Verdana"/>
        </w:rPr>
      </w:pPr>
    </w:p>
    <w:p w14:paraId="717C8C9C" w14:textId="77777777" w:rsidR="0094584B" w:rsidRPr="00EA2204" w:rsidRDefault="0094584B" w:rsidP="00EA2204">
      <w:pPr>
        <w:rPr>
          <w:rFonts w:ascii="Verdana" w:hAnsi="Verdana"/>
        </w:rPr>
      </w:pPr>
    </w:p>
    <w:p w14:paraId="522B3E39" w14:textId="77777777" w:rsidR="00EA2204" w:rsidRPr="00EA2204" w:rsidRDefault="00EA2204" w:rsidP="00EA2204">
      <w:pPr>
        <w:rPr>
          <w:rFonts w:ascii="Verdana" w:hAnsi="Verdana"/>
          <w:b/>
        </w:rPr>
      </w:pPr>
      <w:r w:rsidRPr="00EA2204">
        <w:rPr>
          <w:rFonts w:ascii="Verdana" w:hAnsi="Verdana"/>
          <w:b/>
        </w:rPr>
        <w:t>Some National Driving Forces:</w:t>
      </w:r>
    </w:p>
    <w:p w14:paraId="5FFEECCB" w14:textId="77777777" w:rsidR="00EA2204" w:rsidRPr="00EA2204" w:rsidRDefault="00EA2204" w:rsidP="00EA2204">
      <w:pPr>
        <w:numPr>
          <w:ilvl w:val="0"/>
          <w:numId w:val="30"/>
        </w:numPr>
        <w:rPr>
          <w:rFonts w:ascii="Verdana" w:hAnsi="Verdana"/>
        </w:rPr>
      </w:pPr>
      <w:r w:rsidRPr="00EA2204">
        <w:rPr>
          <w:rFonts w:ascii="Verdana" w:hAnsi="Verdana"/>
        </w:rPr>
        <w:t>MCA - Parliamentary Select Committee report (March 2014)</w:t>
      </w:r>
    </w:p>
    <w:p w14:paraId="51CF0AA7" w14:textId="77777777" w:rsidR="00EA2204" w:rsidRPr="00EA2204" w:rsidRDefault="00EA2204" w:rsidP="00EA2204">
      <w:pPr>
        <w:numPr>
          <w:ilvl w:val="0"/>
          <w:numId w:val="30"/>
        </w:numPr>
        <w:rPr>
          <w:rFonts w:ascii="Verdana" w:hAnsi="Verdana"/>
        </w:rPr>
      </w:pPr>
      <w:r>
        <w:rPr>
          <w:rFonts w:ascii="Verdana" w:hAnsi="Verdana"/>
        </w:rPr>
        <w:t xml:space="preserve">Govt. </w:t>
      </w:r>
      <w:r w:rsidRPr="00EA2204">
        <w:rPr>
          <w:rFonts w:ascii="Verdana" w:hAnsi="Verdana"/>
        </w:rPr>
        <w:t>response – Valuing Every Voice (June 2014)</w:t>
      </w:r>
    </w:p>
    <w:p w14:paraId="0ED87985" w14:textId="77777777" w:rsidR="00EA2204" w:rsidRPr="00EA2204" w:rsidRDefault="00EA2204" w:rsidP="00EA2204">
      <w:pPr>
        <w:numPr>
          <w:ilvl w:val="0"/>
          <w:numId w:val="30"/>
        </w:numPr>
        <w:rPr>
          <w:rFonts w:ascii="Verdana" w:hAnsi="Verdana"/>
        </w:rPr>
      </w:pPr>
      <w:r w:rsidRPr="00EA2204">
        <w:rPr>
          <w:rFonts w:ascii="Verdana" w:hAnsi="Verdana"/>
        </w:rPr>
        <w:t>The Care Act 2014 – Guidance</w:t>
      </w:r>
    </w:p>
    <w:p w14:paraId="21BA966B" w14:textId="77777777" w:rsidR="00EA2204" w:rsidRPr="00EA2204" w:rsidRDefault="00EA2204" w:rsidP="00EA2204">
      <w:pPr>
        <w:numPr>
          <w:ilvl w:val="0"/>
          <w:numId w:val="30"/>
        </w:numPr>
        <w:rPr>
          <w:rFonts w:ascii="Verdana" w:hAnsi="Verdana"/>
        </w:rPr>
      </w:pPr>
      <w:r w:rsidRPr="00EA2204">
        <w:rPr>
          <w:rFonts w:ascii="Verdana" w:hAnsi="Verdana"/>
        </w:rPr>
        <w:t>The Human Rights Act 1998</w:t>
      </w:r>
    </w:p>
    <w:p w14:paraId="0E295C11" w14:textId="77777777" w:rsidR="00EA2204" w:rsidRPr="00EA2204" w:rsidRDefault="00EA2204" w:rsidP="00EA2204">
      <w:pPr>
        <w:numPr>
          <w:ilvl w:val="0"/>
          <w:numId w:val="30"/>
        </w:numPr>
        <w:rPr>
          <w:rFonts w:ascii="Verdana" w:hAnsi="Verdana"/>
        </w:rPr>
      </w:pPr>
      <w:r w:rsidRPr="00EA2204">
        <w:rPr>
          <w:rFonts w:ascii="Verdana" w:hAnsi="Verdana"/>
        </w:rPr>
        <w:t>Health and Social Care Act 2008 (Regulated Activities) Regulations 2014</w:t>
      </w:r>
    </w:p>
    <w:p w14:paraId="63BDBFCE" w14:textId="77777777" w:rsidR="00EA2204" w:rsidRPr="00EA2204" w:rsidRDefault="00EA2204" w:rsidP="00EA2204">
      <w:pPr>
        <w:numPr>
          <w:ilvl w:val="0"/>
          <w:numId w:val="30"/>
        </w:numPr>
        <w:rPr>
          <w:rFonts w:ascii="Verdana" w:hAnsi="Verdana"/>
        </w:rPr>
      </w:pPr>
      <w:r w:rsidRPr="00EA2204">
        <w:rPr>
          <w:rFonts w:ascii="Verdana" w:hAnsi="Verdana"/>
        </w:rPr>
        <w:t>CQC methodology – KLOE and Ratings</w:t>
      </w:r>
    </w:p>
    <w:p w14:paraId="0174348E" w14:textId="77777777" w:rsidR="00EA2204" w:rsidRPr="00EA2204" w:rsidRDefault="00EA2204" w:rsidP="00EA2204">
      <w:pPr>
        <w:numPr>
          <w:ilvl w:val="0"/>
          <w:numId w:val="30"/>
        </w:numPr>
        <w:rPr>
          <w:rFonts w:ascii="Verdana" w:hAnsi="Verdana"/>
        </w:rPr>
      </w:pPr>
      <w:r w:rsidRPr="00EA2204">
        <w:rPr>
          <w:rFonts w:ascii="Verdana" w:hAnsi="Verdana"/>
        </w:rPr>
        <w:t>CQC guidance on compliance with Regulations</w:t>
      </w:r>
    </w:p>
    <w:p w14:paraId="6210E295" w14:textId="77777777" w:rsidR="00EA2204" w:rsidRPr="00EA2204" w:rsidRDefault="00EA2204" w:rsidP="00EA2204">
      <w:pPr>
        <w:numPr>
          <w:ilvl w:val="0"/>
          <w:numId w:val="30"/>
        </w:numPr>
        <w:rPr>
          <w:rFonts w:ascii="Verdana" w:hAnsi="Verdana"/>
        </w:rPr>
      </w:pPr>
      <w:r w:rsidRPr="00EA2204">
        <w:rPr>
          <w:rFonts w:ascii="Verdana" w:hAnsi="Verdana"/>
        </w:rPr>
        <w:t>Local Authority policies and procedures</w:t>
      </w:r>
    </w:p>
    <w:p w14:paraId="3CD15468" w14:textId="77777777" w:rsidR="00EA2204" w:rsidRPr="00EA2204" w:rsidRDefault="00EA2204" w:rsidP="00EA2204">
      <w:pPr>
        <w:numPr>
          <w:ilvl w:val="0"/>
          <w:numId w:val="30"/>
        </w:numPr>
        <w:rPr>
          <w:rFonts w:ascii="Verdana" w:hAnsi="Verdana"/>
        </w:rPr>
      </w:pPr>
      <w:r w:rsidRPr="00EA2204">
        <w:rPr>
          <w:rFonts w:ascii="Verdana" w:hAnsi="Verdana"/>
        </w:rPr>
        <w:t>SCIE (Social Care Institute for Excellence) – guidance and tools</w:t>
      </w:r>
    </w:p>
    <w:p w14:paraId="459FFCC3" w14:textId="77777777" w:rsidR="00B51F97" w:rsidRDefault="00B51F97" w:rsidP="00EA2204">
      <w:pPr>
        <w:numPr>
          <w:ilvl w:val="0"/>
          <w:numId w:val="30"/>
        </w:numPr>
        <w:rPr>
          <w:rFonts w:ascii="Verdana" w:hAnsi="Verdana"/>
        </w:rPr>
      </w:pPr>
      <w:r>
        <w:rPr>
          <w:rFonts w:ascii="Verdana" w:hAnsi="Verdana"/>
        </w:rPr>
        <w:t>NICE</w:t>
      </w:r>
    </w:p>
    <w:p w14:paraId="25B09CA8" w14:textId="77777777" w:rsidR="00EA2204" w:rsidRPr="00EA2204" w:rsidRDefault="00EA2204" w:rsidP="00EA2204">
      <w:pPr>
        <w:numPr>
          <w:ilvl w:val="0"/>
          <w:numId w:val="30"/>
        </w:numPr>
        <w:rPr>
          <w:rFonts w:ascii="Verdana" w:hAnsi="Verdana"/>
        </w:rPr>
      </w:pPr>
      <w:r w:rsidRPr="00EA2204">
        <w:rPr>
          <w:rFonts w:ascii="Verdana" w:hAnsi="Verdana"/>
        </w:rPr>
        <w:t>Skills for Care – guidance and tools (Care Certificate)</w:t>
      </w:r>
    </w:p>
    <w:p w14:paraId="0376AE61" w14:textId="77777777" w:rsidR="00EA2204" w:rsidRPr="00EA2204" w:rsidRDefault="00EA2204" w:rsidP="00EA2204">
      <w:pPr>
        <w:numPr>
          <w:ilvl w:val="0"/>
          <w:numId w:val="30"/>
        </w:numPr>
        <w:rPr>
          <w:rFonts w:ascii="Verdana" w:hAnsi="Verdana"/>
        </w:rPr>
      </w:pPr>
      <w:r w:rsidRPr="00EA2204">
        <w:rPr>
          <w:rFonts w:ascii="Verdana" w:hAnsi="Verdana"/>
        </w:rPr>
        <w:t>Other national good practice guidance</w:t>
      </w:r>
    </w:p>
    <w:p w14:paraId="7B0C6E71" w14:textId="77777777" w:rsidR="00EA2204" w:rsidRPr="00EA2204" w:rsidRDefault="00EA2204" w:rsidP="00EA2204">
      <w:pPr>
        <w:rPr>
          <w:rFonts w:ascii="Verdana" w:hAnsi="Verdana"/>
        </w:rPr>
      </w:pPr>
    </w:p>
    <w:p w14:paraId="26F5CF87" w14:textId="77777777" w:rsidR="00EA2204" w:rsidRPr="00EA2204" w:rsidRDefault="00EA2204" w:rsidP="00EA2204">
      <w:pPr>
        <w:rPr>
          <w:rFonts w:ascii="Verdana" w:hAnsi="Verdana"/>
          <w:b/>
        </w:rPr>
      </w:pPr>
      <w:r w:rsidRPr="00EA2204">
        <w:rPr>
          <w:rFonts w:ascii="Verdana" w:hAnsi="Verdana"/>
          <w:b/>
        </w:rPr>
        <w:t>Internal Driving Forces (within the service):</w:t>
      </w:r>
    </w:p>
    <w:p w14:paraId="3F2725DD" w14:textId="77777777" w:rsidR="00EA2204" w:rsidRPr="00EA2204" w:rsidRDefault="00EA2204" w:rsidP="00EA2204">
      <w:pPr>
        <w:numPr>
          <w:ilvl w:val="0"/>
          <w:numId w:val="31"/>
        </w:numPr>
        <w:rPr>
          <w:rFonts w:ascii="Verdana" w:hAnsi="Verdana"/>
        </w:rPr>
      </w:pPr>
      <w:r w:rsidRPr="00EA2204">
        <w:rPr>
          <w:rFonts w:ascii="Verdana" w:hAnsi="Verdana"/>
        </w:rPr>
        <w:t>Management – attitude and commitment</w:t>
      </w:r>
    </w:p>
    <w:p w14:paraId="5BE4757C" w14:textId="77777777" w:rsidR="00EA2204" w:rsidRPr="00EA2204" w:rsidRDefault="00EA2204" w:rsidP="00EA2204">
      <w:pPr>
        <w:numPr>
          <w:ilvl w:val="0"/>
          <w:numId w:val="31"/>
        </w:numPr>
        <w:rPr>
          <w:rFonts w:ascii="Verdana" w:hAnsi="Verdana"/>
        </w:rPr>
      </w:pPr>
      <w:r w:rsidRPr="00EA2204">
        <w:rPr>
          <w:rFonts w:ascii="Verdana" w:hAnsi="Verdana"/>
        </w:rPr>
        <w:t>Internal policies and procedures</w:t>
      </w:r>
    </w:p>
    <w:p w14:paraId="667C0CF5" w14:textId="77777777" w:rsidR="00EA2204" w:rsidRPr="00EA2204" w:rsidRDefault="00EA2204" w:rsidP="00EA2204">
      <w:pPr>
        <w:numPr>
          <w:ilvl w:val="0"/>
          <w:numId w:val="31"/>
        </w:numPr>
        <w:rPr>
          <w:rFonts w:ascii="Verdana" w:hAnsi="Verdana"/>
        </w:rPr>
      </w:pPr>
      <w:r w:rsidRPr="00EA2204">
        <w:rPr>
          <w:rFonts w:ascii="Verdana" w:hAnsi="Verdana"/>
        </w:rPr>
        <w:t>Recruitment system – value based recruitment (Skills for Care)</w:t>
      </w:r>
    </w:p>
    <w:p w14:paraId="4009F6F5" w14:textId="77777777" w:rsidR="00EA2204" w:rsidRPr="00EA2204" w:rsidRDefault="00EA2204" w:rsidP="00EA2204">
      <w:pPr>
        <w:numPr>
          <w:ilvl w:val="1"/>
          <w:numId w:val="31"/>
        </w:numPr>
        <w:rPr>
          <w:rFonts w:ascii="Verdana" w:hAnsi="Verdana"/>
        </w:rPr>
      </w:pPr>
      <w:r w:rsidRPr="00EA2204">
        <w:rPr>
          <w:rFonts w:ascii="Verdana" w:hAnsi="Verdana"/>
        </w:rPr>
        <w:t>Application forms</w:t>
      </w:r>
    </w:p>
    <w:p w14:paraId="5953FAAE" w14:textId="77777777" w:rsidR="00EA2204" w:rsidRPr="00EA2204" w:rsidRDefault="00EA2204" w:rsidP="00EA2204">
      <w:pPr>
        <w:numPr>
          <w:ilvl w:val="1"/>
          <w:numId w:val="31"/>
        </w:numPr>
        <w:rPr>
          <w:rFonts w:ascii="Verdana" w:hAnsi="Verdana"/>
        </w:rPr>
      </w:pPr>
      <w:r w:rsidRPr="00EA2204">
        <w:rPr>
          <w:rFonts w:ascii="Verdana" w:hAnsi="Verdana"/>
        </w:rPr>
        <w:t>Interview questions</w:t>
      </w:r>
    </w:p>
    <w:p w14:paraId="05C4D1B6" w14:textId="77777777" w:rsidR="00EA2204" w:rsidRPr="00EA2204" w:rsidRDefault="00EA2204" w:rsidP="00EA2204">
      <w:pPr>
        <w:numPr>
          <w:ilvl w:val="0"/>
          <w:numId w:val="31"/>
        </w:numPr>
        <w:rPr>
          <w:rFonts w:ascii="Verdana" w:hAnsi="Verdana"/>
        </w:rPr>
      </w:pPr>
      <w:r w:rsidRPr="00EA2204">
        <w:rPr>
          <w:rFonts w:ascii="Verdana" w:hAnsi="Verdana"/>
        </w:rPr>
        <w:t>Care Certificate – new induction methodology</w:t>
      </w:r>
    </w:p>
    <w:p w14:paraId="6AADE731" w14:textId="77777777" w:rsidR="00EA2204" w:rsidRPr="00EA2204" w:rsidRDefault="00EA2204" w:rsidP="00EA2204">
      <w:pPr>
        <w:numPr>
          <w:ilvl w:val="0"/>
          <w:numId w:val="31"/>
        </w:numPr>
        <w:rPr>
          <w:rFonts w:ascii="Verdana" w:hAnsi="Verdana"/>
        </w:rPr>
      </w:pPr>
      <w:r w:rsidRPr="00EA2204">
        <w:rPr>
          <w:rFonts w:ascii="Verdana" w:hAnsi="Verdana"/>
        </w:rPr>
        <w:t>Care Planning system – integral – embedded</w:t>
      </w:r>
    </w:p>
    <w:p w14:paraId="2C8B25DC" w14:textId="77777777" w:rsidR="00EA2204" w:rsidRPr="00EA2204" w:rsidRDefault="00EA2204" w:rsidP="00EA2204">
      <w:pPr>
        <w:numPr>
          <w:ilvl w:val="0"/>
          <w:numId w:val="31"/>
        </w:numPr>
        <w:rPr>
          <w:rFonts w:ascii="Verdana" w:hAnsi="Verdana"/>
        </w:rPr>
      </w:pPr>
      <w:r w:rsidRPr="00EA2204">
        <w:rPr>
          <w:rFonts w:ascii="Verdana" w:hAnsi="Verdana"/>
        </w:rPr>
        <w:t>Staff meetings and supervision – make it a standing agenda item</w:t>
      </w:r>
    </w:p>
    <w:p w14:paraId="71382157" w14:textId="77777777" w:rsidR="00EA2204" w:rsidRPr="00EA2204" w:rsidRDefault="00EA2204" w:rsidP="00EA2204">
      <w:pPr>
        <w:numPr>
          <w:ilvl w:val="0"/>
          <w:numId w:val="31"/>
        </w:numPr>
        <w:rPr>
          <w:rFonts w:ascii="Verdana" w:hAnsi="Verdana"/>
        </w:rPr>
      </w:pPr>
      <w:r w:rsidRPr="00EA2204">
        <w:rPr>
          <w:rFonts w:ascii="Verdana" w:hAnsi="Verdana"/>
        </w:rPr>
        <w:t>Checks and auditing must be in place to ensure that the strategy is being implemented and the appropriate level of achievement being attained</w:t>
      </w:r>
    </w:p>
    <w:p w14:paraId="1163FE32" w14:textId="77777777" w:rsidR="00EA2204" w:rsidRPr="00EA2204" w:rsidRDefault="00EA2204" w:rsidP="00EA2204">
      <w:pPr>
        <w:rPr>
          <w:rFonts w:ascii="Verdana" w:hAnsi="Verdana"/>
        </w:rPr>
      </w:pPr>
    </w:p>
    <w:p w14:paraId="441B73BE" w14:textId="77777777" w:rsidR="00EA2204" w:rsidRPr="00EA2204" w:rsidRDefault="00EA2204" w:rsidP="00EA2204">
      <w:pPr>
        <w:numPr>
          <w:ilvl w:val="0"/>
          <w:numId w:val="31"/>
        </w:numPr>
        <w:rPr>
          <w:rFonts w:ascii="Verdana" w:hAnsi="Verdana"/>
        </w:rPr>
      </w:pPr>
      <w:r w:rsidRPr="00EA2204">
        <w:rPr>
          <w:rFonts w:ascii="Verdana" w:hAnsi="Verdana"/>
        </w:rPr>
        <w:t>Senior Carers/team leaders – middle management – a full commitment is needed</w:t>
      </w:r>
    </w:p>
    <w:p w14:paraId="6C3426F9" w14:textId="77777777" w:rsidR="00EA2204" w:rsidRPr="00EA2204" w:rsidRDefault="00EA2204" w:rsidP="00EA2204">
      <w:pPr>
        <w:numPr>
          <w:ilvl w:val="1"/>
          <w:numId w:val="31"/>
        </w:numPr>
        <w:rPr>
          <w:rFonts w:ascii="Verdana" w:hAnsi="Verdana"/>
        </w:rPr>
      </w:pPr>
      <w:r w:rsidRPr="00EA2204">
        <w:rPr>
          <w:rFonts w:ascii="Verdana" w:hAnsi="Verdana"/>
        </w:rPr>
        <w:t>They must have a good knowledge and understanding</w:t>
      </w:r>
    </w:p>
    <w:p w14:paraId="27C80E54" w14:textId="77777777" w:rsidR="00EA2204" w:rsidRPr="00EA2204" w:rsidRDefault="00EA2204" w:rsidP="00EA2204">
      <w:pPr>
        <w:numPr>
          <w:ilvl w:val="1"/>
          <w:numId w:val="31"/>
        </w:numPr>
        <w:rPr>
          <w:rFonts w:ascii="Verdana" w:hAnsi="Verdana"/>
        </w:rPr>
      </w:pPr>
      <w:r w:rsidRPr="00EA2204">
        <w:rPr>
          <w:rFonts w:ascii="Verdana" w:hAnsi="Verdana"/>
        </w:rPr>
        <w:lastRenderedPageBreak/>
        <w:t>Embrace it, own it</w:t>
      </w:r>
    </w:p>
    <w:p w14:paraId="40DA6756" w14:textId="77777777" w:rsidR="00EA2204" w:rsidRPr="00EA2204" w:rsidRDefault="00EA2204" w:rsidP="00EA2204">
      <w:pPr>
        <w:numPr>
          <w:ilvl w:val="1"/>
          <w:numId w:val="31"/>
        </w:numPr>
        <w:rPr>
          <w:rFonts w:ascii="Verdana" w:hAnsi="Verdana"/>
        </w:rPr>
      </w:pPr>
      <w:r w:rsidRPr="00EA2204">
        <w:rPr>
          <w:rFonts w:ascii="Verdana" w:hAnsi="Verdana"/>
        </w:rPr>
        <w:t>Championing – each service should have a champion</w:t>
      </w:r>
    </w:p>
    <w:p w14:paraId="15BB1846" w14:textId="77777777" w:rsidR="00EA2204" w:rsidRPr="00EA2204" w:rsidRDefault="00EA2204" w:rsidP="00EA2204">
      <w:pPr>
        <w:numPr>
          <w:ilvl w:val="1"/>
          <w:numId w:val="31"/>
        </w:numPr>
        <w:rPr>
          <w:rFonts w:ascii="Verdana" w:hAnsi="Verdana"/>
        </w:rPr>
      </w:pPr>
      <w:r w:rsidRPr="00EA2204">
        <w:rPr>
          <w:rFonts w:ascii="Verdana" w:hAnsi="Verdana"/>
        </w:rPr>
        <w:t>All seniors must take individual responsibilities and ownership</w:t>
      </w:r>
    </w:p>
    <w:p w14:paraId="459EFA97" w14:textId="77777777" w:rsidR="00EA2204" w:rsidRPr="00EA2204" w:rsidRDefault="00EA2204" w:rsidP="00EA2204">
      <w:pPr>
        <w:numPr>
          <w:ilvl w:val="1"/>
          <w:numId w:val="31"/>
        </w:numPr>
        <w:rPr>
          <w:rFonts w:ascii="Verdana" w:hAnsi="Verdana"/>
        </w:rPr>
      </w:pPr>
      <w:r w:rsidRPr="00EA2204">
        <w:rPr>
          <w:rFonts w:ascii="Verdana" w:hAnsi="Verdana"/>
        </w:rPr>
        <w:t>Handovers – discussions to check whether principles have been applied, any issues, good examples of practice etc..</w:t>
      </w:r>
    </w:p>
    <w:p w14:paraId="7F003F6E" w14:textId="77777777" w:rsidR="00EA2204" w:rsidRPr="00EA2204" w:rsidRDefault="00EA2204" w:rsidP="00EA2204">
      <w:pPr>
        <w:rPr>
          <w:rFonts w:ascii="Verdana" w:hAnsi="Verdana"/>
        </w:rPr>
      </w:pPr>
    </w:p>
    <w:p w14:paraId="478E513A" w14:textId="77777777" w:rsidR="00EA2204" w:rsidRPr="00EA2204" w:rsidRDefault="00EA2204" w:rsidP="00EA2204">
      <w:pPr>
        <w:numPr>
          <w:ilvl w:val="0"/>
          <w:numId w:val="33"/>
        </w:numPr>
        <w:rPr>
          <w:rFonts w:ascii="Verdana" w:hAnsi="Verdana"/>
        </w:rPr>
      </w:pPr>
      <w:r w:rsidRPr="00EA2204">
        <w:rPr>
          <w:rFonts w:ascii="Verdana" w:hAnsi="Verdana"/>
        </w:rPr>
        <w:t>All care staff must have a good basic understanding and know how the principles are applied</w:t>
      </w:r>
    </w:p>
    <w:p w14:paraId="39CEF80F" w14:textId="77777777" w:rsidR="00EA2204" w:rsidRPr="00EA2204" w:rsidRDefault="00EA2204" w:rsidP="00EA2204">
      <w:pPr>
        <w:numPr>
          <w:ilvl w:val="1"/>
          <w:numId w:val="33"/>
        </w:numPr>
        <w:rPr>
          <w:rFonts w:ascii="Verdana" w:hAnsi="Verdana"/>
        </w:rPr>
      </w:pPr>
      <w:r w:rsidRPr="00EA2204">
        <w:rPr>
          <w:rFonts w:ascii="Verdana" w:hAnsi="Verdana"/>
        </w:rPr>
        <w:t>All staff must take individual responsibilities and ownership</w:t>
      </w:r>
    </w:p>
    <w:p w14:paraId="540F370F" w14:textId="77777777" w:rsidR="00EA2204" w:rsidRPr="00EA2204" w:rsidRDefault="00EA2204" w:rsidP="00EA2204">
      <w:pPr>
        <w:numPr>
          <w:ilvl w:val="2"/>
          <w:numId w:val="33"/>
        </w:numPr>
        <w:rPr>
          <w:rFonts w:ascii="Verdana" w:hAnsi="Verdana"/>
        </w:rPr>
      </w:pPr>
      <w:r w:rsidRPr="00EA2204">
        <w:rPr>
          <w:rFonts w:ascii="Verdana" w:hAnsi="Verdana"/>
        </w:rPr>
        <w:t>Where there is knowledge and understanding lacking – specific learning targets must be set to ensure achievement</w:t>
      </w:r>
    </w:p>
    <w:p w14:paraId="66C00B98" w14:textId="77777777" w:rsidR="00EA2204" w:rsidRPr="00EA2204" w:rsidRDefault="00EA2204" w:rsidP="00EA2204">
      <w:pPr>
        <w:numPr>
          <w:ilvl w:val="1"/>
          <w:numId w:val="33"/>
        </w:numPr>
        <w:rPr>
          <w:rFonts w:ascii="Verdana" w:hAnsi="Verdana"/>
        </w:rPr>
      </w:pPr>
      <w:r w:rsidRPr="00EA2204">
        <w:rPr>
          <w:rFonts w:ascii="Verdana" w:hAnsi="Verdana"/>
        </w:rPr>
        <w:t>Each member of staff brings examples of when and how they have applied any aspects of then above principles to supervision (5-6 examples)</w:t>
      </w:r>
    </w:p>
    <w:p w14:paraId="7089BB8E" w14:textId="77777777" w:rsidR="00EA2204" w:rsidRPr="00EA2204" w:rsidRDefault="00EA2204" w:rsidP="00EA2204">
      <w:pPr>
        <w:numPr>
          <w:ilvl w:val="1"/>
          <w:numId w:val="33"/>
        </w:numPr>
        <w:rPr>
          <w:rFonts w:ascii="Verdana" w:hAnsi="Verdana"/>
        </w:rPr>
      </w:pPr>
      <w:r w:rsidRPr="00EA2204">
        <w:rPr>
          <w:rFonts w:ascii="Verdana" w:hAnsi="Verdana"/>
        </w:rPr>
        <w:t>The whole care file structure must start with MCA, LPA, establishing capacity, appropriate documentation etc.</w:t>
      </w:r>
    </w:p>
    <w:p w14:paraId="6EED21A8" w14:textId="77777777" w:rsidR="00EA2204" w:rsidRPr="00EA2204" w:rsidRDefault="00EA2204" w:rsidP="00EA2204">
      <w:pPr>
        <w:numPr>
          <w:ilvl w:val="1"/>
          <w:numId w:val="33"/>
        </w:numPr>
        <w:rPr>
          <w:rFonts w:ascii="Verdana" w:hAnsi="Verdana"/>
        </w:rPr>
      </w:pPr>
      <w:r w:rsidRPr="00EA2204">
        <w:rPr>
          <w:rFonts w:ascii="Verdana" w:hAnsi="Verdana"/>
        </w:rPr>
        <w:t>All care plans must have the appropriate consent evident</w:t>
      </w:r>
    </w:p>
    <w:p w14:paraId="1A31199A" w14:textId="77777777" w:rsidR="00EA2204" w:rsidRPr="00EA2204" w:rsidRDefault="00EA2204" w:rsidP="00EA2204">
      <w:pPr>
        <w:rPr>
          <w:rFonts w:ascii="Verdana" w:hAnsi="Verdana"/>
        </w:rPr>
      </w:pPr>
    </w:p>
    <w:p w14:paraId="68AFEE40" w14:textId="77777777" w:rsidR="00EA2204" w:rsidRPr="00EA2204" w:rsidRDefault="00EA2204" w:rsidP="00EA2204">
      <w:pPr>
        <w:rPr>
          <w:rFonts w:ascii="Verdana" w:hAnsi="Verdana"/>
          <w:b/>
        </w:rPr>
      </w:pPr>
      <w:r w:rsidRPr="00EA2204">
        <w:rPr>
          <w:rFonts w:ascii="Verdana" w:hAnsi="Verdana"/>
          <w:b/>
        </w:rPr>
        <w:t>In addition to the above principles and concepts all staff must as a base line understand and be able to discuss and apply the content of Appendix A.</w:t>
      </w:r>
    </w:p>
    <w:p w14:paraId="40540E21" w14:textId="77777777" w:rsidR="00EA2204" w:rsidRPr="00EA2204" w:rsidRDefault="00EA2204" w:rsidP="00EA2204">
      <w:pPr>
        <w:rPr>
          <w:rFonts w:ascii="Verdana" w:hAnsi="Verdana"/>
        </w:rPr>
      </w:pPr>
    </w:p>
    <w:p w14:paraId="73AECBA5" w14:textId="77777777" w:rsidR="00EA2204" w:rsidRPr="00EA2204" w:rsidRDefault="00EA2204" w:rsidP="00EA2204">
      <w:pPr>
        <w:rPr>
          <w:rFonts w:ascii="Verdana" w:hAnsi="Verdana"/>
        </w:rPr>
      </w:pPr>
    </w:p>
    <w:p w14:paraId="13C779F9" w14:textId="77777777" w:rsidR="00EA2204" w:rsidRPr="00EA2204" w:rsidRDefault="00EA2204" w:rsidP="00EA2204">
      <w:pPr>
        <w:rPr>
          <w:rFonts w:ascii="Verdana" w:hAnsi="Verdana"/>
        </w:rPr>
      </w:pPr>
    </w:p>
    <w:p w14:paraId="669EF0D7" w14:textId="77777777" w:rsidR="00EA2204" w:rsidRPr="00EA2204" w:rsidRDefault="00EA2204" w:rsidP="00EA2204">
      <w:pPr>
        <w:rPr>
          <w:rFonts w:ascii="Verdana" w:hAnsi="Verdana"/>
        </w:rPr>
      </w:pPr>
    </w:p>
    <w:p w14:paraId="7A8A4876" w14:textId="77777777" w:rsidR="00EA2204" w:rsidRPr="00EA2204" w:rsidRDefault="00FF40E3" w:rsidP="00EA2204">
      <w:pPr>
        <w:rPr>
          <w:rFonts w:ascii="Verdana" w:hAnsi="Verdana"/>
        </w:rPr>
      </w:pPr>
      <w:r>
        <w:rPr>
          <w:rFonts w:ascii="Verdana" w:hAnsi="Verdana"/>
        </w:rPr>
        <w:t>Director</w:t>
      </w:r>
    </w:p>
    <w:p w14:paraId="260AC756" w14:textId="77777777" w:rsidR="00EA2204" w:rsidRPr="00EA2204" w:rsidRDefault="00EA2204" w:rsidP="00EA2204">
      <w:pPr>
        <w:rPr>
          <w:rFonts w:ascii="Verdana" w:hAnsi="Verdana"/>
        </w:rPr>
      </w:pPr>
    </w:p>
    <w:p w14:paraId="068DFA73" w14:textId="77777777" w:rsidR="00EA2204" w:rsidRPr="00EA2204" w:rsidRDefault="00EA2204" w:rsidP="00EA2204">
      <w:pPr>
        <w:rPr>
          <w:rFonts w:ascii="Verdana" w:hAnsi="Verdana"/>
        </w:rPr>
      </w:pPr>
    </w:p>
    <w:p w14:paraId="0FCDB6D7" w14:textId="77777777" w:rsidR="00EA2204" w:rsidRDefault="00EA2204" w:rsidP="00EA2204">
      <w:pPr>
        <w:rPr>
          <w:rFonts w:ascii="Verdana" w:hAnsi="Verdana"/>
        </w:rPr>
      </w:pPr>
    </w:p>
    <w:p w14:paraId="61EC1E42" w14:textId="77777777" w:rsidR="00EA2204" w:rsidRDefault="00EA2204" w:rsidP="00EA2204">
      <w:pPr>
        <w:rPr>
          <w:rFonts w:ascii="Verdana" w:hAnsi="Verdana"/>
        </w:rPr>
      </w:pPr>
    </w:p>
    <w:p w14:paraId="3A51C71C" w14:textId="77777777" w:rsidR="00EA2204" w:rsidRDefault="00EA2204" w:rsidP="00EA2204">
      <w:pPr>
        <w:rPr>
          <w:rFonts w:ascii="Verdana" w:hAnsi="Verdana"/>
        </w:rPr>
      </w:pPr>
    </w:p>
    <w:p w14:paraId="6E503DAF" w14:textId="77777777" w:rsidR="00EA2204" w:rsidRDefault="00EA2204" w:rsidP="00EA2204">
      <w:pPr>
        <w:rPr>
          <w:rFonts w:ascii="Verdana" w:hAnsi="Verdana"/>
        </w:rPr>
      </w:pPr>
    </w:p>
    <w:p w14:paraId="175B4B7A" w14:textId="77777777" w:rsidR="00EA2204" w:rsidRDefault="00EA2204" w:rsidP="00EA2204">
      <w:pPr>
        <w:rPr>
          <w:rFonts w:ascii="Verdana" w:hAnsi="Verdana"/>
        </w:rPr>
      </w:pPr>
    </w:p>
    <w:p w14:paraId="246B4630" w14:textId="77777777" w:rsidR="00EA2204" w:rsidRDefault="00EA2204" w:rsidP="00EA2204">
      <w:pPr>
        <w:rPr>
          <w:rFonts w:ascii="Verdana" w:hAnsi="Verdana"/>
        </w:rPr>
      </w:pPr>
    </w:p>
    <w:p w14:paraId="42706220" w14:textId="77777777" w:rsidR="00EA2204" w:rsidRDefault="00EA2204" w:rsidP="00EA2204">
      <w:pPr>
        <w:rPr>
          <w:rFonts w:ascii="Verdana" w:hAnsi="Verdana"/>
        </w:rPr>
      </w:pPr>
    </w:p>
    <w:p w14:paraId="6C71326D" w14:textId="77777777" w:rsidR="00EA2204" w:rsidRDefault="00EA2204" w:rsidP="00EA2204">
      <w:pPr>
        <w:rPr>
          <w:rFonts w:ascii="Verdana" w:hAnsi="Verdana"/>
        </w:rPr>
      </w:pPr>
    </w:p>
    <w:p w14:paraId="4DA86068" w14:textId="77777777" w:rsidR="00EA2204" w:rsidRDefault="00EA2204" w:rsidP="00EA2204">
      <w:pPr>
        <w:rPr>
          <w:rFonts w:ascii="Verdana" w:hAnsi="Verdana"/>
        </w:rPr>
      </w:pPr>
    </w:p>
    <w:p w14:paraId="4F874355" w14:textId="77777777" w:rsidR="00EA2204" w:rsidRDefault="00EA2204" w:rsidP="00EA2204">
      <w:pPr>
        <w:rPr>
          <w:rFonts w:ascii="Verdana" w:hAnsi="Verdana"/>
        </w:rPr>
      </w:pPr>
    </w:p>
    <w:p w14:paraId="132EEDA5" w14:textId="77777777" w:rsidR="00EA2204" w:rsidRDefault="00EA2204" w:rsidP="00EA2204">
      <w:pPr>
        <w:rPr>
          <w:rFonts w:ascii="Verdana" w:hAnsi="Verdana"/>
        </w:rPr>
      </w:pPr>
    </w:p>
    <w:p w14:paraId="0A5F9DA6" w14:textId="77777777" w:rsidR="00EA2204" w:rsidRDefault="00EA2204" w:rsidP="00EA2204">
      <w:pPr>
        <w:rPr>
          <w:rFonts w:ascii="Verdana" w:hAnsi="Verdana"/>
        </w:rPr>
      </w:pPr>
    </w:p>
    <w:p w14:paraId="112FA075" w14:textId="77777777" w:rsidR="00EA2204" w:rsidRDefault="00EA2204" w:rsidP="00EA2204">
      <w:pPr>
        <w:rPr>
          <w:rFonts w:ascii="Verdana" w:hAnsi="Verdana"/>
        </w:rPr>
      </w:pPr>
    </w:p>
    <w:p w14:paraId="6B2B4FFD" w14:textId="77777777" w:rsidR="00EA2204" w:rsidRDefault="00EA2204" w:rsidP="00EA2204">
      <w:pPr>
        <w:rPr>
          <w:rFonts w:ascii="Verdana" w:hAnsi="Verdana"/>
        </w:rPr>
      </w:pPr>
    </w:p>
    <w:p w14:paraId="77A8928B" w14:textId="77777777" w:rsidR="00EA2204" w:rsidRDefault="00EA2204" w:rsidP="00EA2204">
      <w:pPr>
        <w:rPr>
          <w:rFonts w:ascii="Verdana" w:hAnsi="Verdana"/>
        </w:rPr>
      </w:pPr>
    </w:p>
    <w:p w14:paraId="190AE598" w14:textId="77777777" w:rsidR="00EA2204" w:rsidRDefault="00EA2204" w:rsidP="00EA2204">
      <w:pPr>
        <w:rPr>
          <w:rFonts w:ascii="Verdana" w:hAnsi="Verdana"/>
        </w:rPr>
      </w:pPr>
    </w:p>
    <w:p w14:paraId="5216BEE0" w14:textId="77777777" w:rsidR="00EA2204" w:rsidRDefault="00EA2204" w:rsidP="00EA2204">
      <w:pPr>
        <w:rPr>
          <w:rFonts w:ascii="Verdana" w:hAnsi="Verdana"/>
        </w:rPr>
      </w:pPr>
    </w:p>
    <w:p w14:paraId="4DA57C3A" w14:textId="77777777" w:rsidR="00EA2204" w:rsidRPr="00FF40E3" w:rsidRDefault="00EA2204" w:rsidP="00EA2204">
      <w:pPr>
        <w:rPr>
          <w:rFonts w:ascii="Verdana" w:hAnsi="Verdana"/>
          <w:b/>
          <w:sz w:val="20"/>
          <w:szCs w:val="20"/>
          <w:u w:val="single"/>
        </w:rPr>
      </w:pPr>
      <w:r w:rsidRPr="00FF40E3">
        <w:rPr>
          <w:rFonts w:ascii="Verdana" w:hAnsi="Verdana"/>
          <w:b/>
          <w:sz w:val="20"/>
          <w:szCs w:val="20"/>
          <w:u w:val="single"/>
        </w:rPr>
        <w:t>Appendix A</w:t>
      </w:r>
      <w:r w:rsidR="00FF40E3">
        <w:rPr>
          <w:rFonts w:ascii="Verdana" w:hAnsi="Verdana"/>
          <w:b/>
          <w:sz w:val="20"/>
          <w:szCs w:val="20"/>
          <w:u w:val="single"/>
        </w:rPr>
        <w:t xml:space="preserve"> - </w:t>
      </w:r>
      <w:r w:rsidRPr="00FF40E3">
        <w:rPr>
          <w:rFonts w:ascii="Verdana" w:hAnsi="Verdana"/>
          <w:b/>
          <w:sz w:val="20"/>
          <w:szCs w:val="20"/>
          <w:u w:val="single"/>
        </w:rPr>
        <w:t>Mental Capacity Act 2005:</w:t>
      </w:r>
    </w:p>
    <w:p w14:paraId="609BA9A4" w14:textId="77777777" w:rsidR="00EA2204" w:rsidRPr="00FF40E3" w:rsidRDefault="00EA2204" w:rsidP="00EA2204">
      <w:pPr>
        <w:rPr>
          <w:rFonts w:ascii="Verdana" w:hAnsi="Verdana"/>
          <w:sz w:val="20"/>
          <w:szCs w:val="20"/>
        </w:rPr>
      </w:pPr>
    </w:p>
    <w:p w14:paraId="4EC7D9FC" w14:textId="77777777" w:rsidR="00EA2204" w:rsidRPr="00FF40E3" w:rsidRDefault="00FF40E3" w:rsidP="00EA2204">
      <w:pPr>
        <w:rPr>
          <w:rFonts w:ascii="Verdana" w:hAnsi="Verdana"/>
          <w:b/>
          <w:sz w:val="20"/>
          <w:szCs w:val="20"/>
        </w:rPr>
      </w:pPr>
      <w:r>
        <w:rPr>
          <w:rFonts w:ascii="Verdana" w:hAnsi="Verdana"/>
          <w:b/>
          <w:sz w:val="20"/>
          <w:szCs w:val="20"/>
        </w:rPr>
        <w:t xml:space="preserve">Lack of </w:t>
      </w:r>
      <w:r w:rsidR="00EA2204" w:rsidRPr="00FF40E3">
        <w:rPr>
          <w:rFonts w:ascii="Verdana" w:hAnsi="Verdana"/>
          <w:b/>
          <w:sz w:val="20"/>
          <w:szCs w:val="20"/>
        </w:rPr>
        <w:t>Capacity:</w:t>
      </w:r>
    </w:p>
    <w:p w14:paraId="6402777B" w14:textId="77777777" w:rsidR="00EA2204" w:rsidRPr="00FF40E3" w:rsidRDefault="00EA2204" w:rsidP="00EA2204">
      <w:pPr>
        <w:rPr>
          <w:rFonts w:ascii="Verdana" w:hAnsi="Verdana"/>
          <w:b/>
          <w:bCs/>
          <w:sz w:val="20"/>
          <w:szCs w:val="20"/>
        </w:rPr>
      </w:pPr>
      <w:r w:rsidRPr="00FF40E3">
        <w:rPr>
          <w:rFonts w:ascii="Verdana" w:hAnsi="Verdana"/>
          <w:sz w:val="20"/>
          <w:szCs w:val="20"/>
        </w:rPr>
        <w:t xml:space="preserve">Whenever the term ‘a person who lacks capacity’ is used, it </w:t>
      </w:r>
      <w:r w:rsidRPr="00FF40E3">
        <w:rPr>
          <w:rFonts w:ascii="Verdana" w:hAnsi="Verdana"/>
          <w:b/>
          <w:bCs/>
          <w:sz w:val="20"/>
          <w:szCs w:val="20"/>
        </w:rPr>
        <w:t>means a person who lacks capacity to make a particular decision or take a particular action for themselves at the time the decision or action needs to be taken.</w:t>
      </w:r>
    </w:p>
    <w:p w14:paraId="4DAE88D8" w14:textId="77777777" w:rsidR="00EA2204" w:rsidRPr="00FF40E3" w:rsidRDefault="00EA2204" w:rsidP="00EA2204">
      <w:pPr>
        <w:rPr>
          <w:rFonts w:ascii="Verdana" w:hAnsi="Verdana"/>
          <w:b/>
          <w:bCs/>
          <w:sz w:val="20"/>
          <w:szCs w:val="20"/>
        </w:rPr>
      </w:pPr>
    </w:p>
    <w:p w14:paraId="3BC4942C" w14:textId="77777777" w:rsidR="00EA2204" w:rsidRPr="00FF40E3" w:rsidRDefault="00EA2204" w:rsidP="00EA2204">
      <w:pPr>
        <w:rPr>
          <w:rFonts w:ascii="Verdana" w:hAnsi="Verdana"/>
          <w:b/>
          <w:bCs/>
          <w:sz w:val="20"/>
          <w:szCs w:val="20"/>
        </w:rPr>
      </w:pPr>
      <w:r w:rsidRPr="00FF40E3">
        <w:rPr>
          <w:rFonts w:ascii="Verdana" w:hAnsi="Verdana"/>
          <w:b/>
          <w:bCs/>
          <w:sz w:val="20"/>
          <w:szCs w:val="20"/>
        </w:rPr>
        <w:t>Time and decision specific…</w:t>
      </w:r>
    </w:p>
    <w:p w14:paraId="7F751D51" w14:textId="77777777" w:rsidR="00EA2204" w:rsidRPr="00FF40E3" w:rsidRDefault="00EA2204" w:rsidP="00EA2204">
      <w:pPr>
        <w:rPr>
          <w:rFonts w:ascii="Verdana" w:hAnsi="Verdana"/>
          <w:bCs/>
          <w:sz w:val="20"/>
          <w:szCs w:val="20"/>
        </w:rPr>
      </w:pPr>
    </w:p>
    <w:p w14:paraId="4AF2BB9D" w14:textId="77777777" w:rsidR="00EA2204" w:rsidRPr="00FF40E3" w:rsidRDefault="00EA2204" w:rsidP="00EA2204">
      <w:pPr>
        <w:rPr>
          <w:rFonts w:ascii="Verdana" w:hAnsi="Verdana"/>
          <w:bCs/>
          <w:sz w:val="20"/>
          <w:szCs w:val="20"/>
        </w:rPr>
      </w:pPr>
      <w:r w:rsidRPr="00FF40E3">
        <w:rPr>
          <w:rFonts w:ascii="Verdana" w:hAnsi="Verdana"/>
          <w:bCs/>
          <w:sz w:val="20"/>
          <w:szCs w:val="20"/>
        </w:rPr>
        <w:t>5 - Principles</w:t>
      </w:r>
    </w:p>
    <w:p w14:paraId="5D14545E" w14:textId="77777777" w:rsidR="00EA2204" w:rsidRPr="00FF40E3" w:rsidRDefault="00EA2204" w:rsidP="00EA2204">
      <w:pPr>
        <w:rPr>
          <w:rFonts w:ascii="Verdana" w:hAnsi="Verdana"/>
          <w:bCs/>
          <w:sz w:val="20"/>
          <w:szCs w:val="20"/>
        </w:rPr>
      </w:pPr>
      <w:r w:rsidRPr="00FF40E3">
        <w:rPr>
          <w:rFonts w:ascii="Verdana" w:hAnsi="Verdana"/>
          <w:bCs/>
          <w:sz w:val="20"/>
          <w:szCs w:val="20"/>
        </w:rPr>
        <w:t>4 – Questions (2</w:t>
      </w:r>
      <w:r w:rsidRPr="00FF40E3">
        <w:rPr>
          <w:rFonts w:ascii="Verdana" w:hAnsi="Verdana"/>
          <w:bCs/>
          <w:sz w:val="20"/>
          <w:szCs w:val="20"/>
          <w:vertAlign w:val="superscript"/>
        </w:rPr>
        <w:t>nd</w:t>
      </w:r>
      <w:r w:rsidRPr="00FF40E3">
        <w:rPr>
          <w:rFonts w:ascii="Verdana" w:hAnsi="Verdana"/>
          <w:bCs/>
          <w:sz w:val="20"/>
          <w:szCs w:val="20"/>
        </w:rPr>
        <w:t xml:space="preserve"> stage of assessment)</w:t>
      </w:r>
    </w:p>
    <w:p w14:paraId="6FF58E49" w14:textId="77777777" w:rsidR="00EA2204" w:rsidRPr="00FF40E3" w:rsidRDefault="00EA2204" w:rsidP="00EA2204">
      <w:pPr>
        <w:rPr>
          <w:rFonts w:ascii="Verdana" w:hAnsi="Verdana"/>
          <w:bCs/>
          <w:sz w:val="20"/>
          <w:szCs w:val="20"/>
        </w:rPr>
      </w:pPr>
      <w:r w:rsidRPr="00FF40E3">
        <w:rPr>
          <w:rFonts w:ascii="Verdana" w:hAnsi="Verdana"/>
          <w:bCs/>
          <w:sz w:val="20"/>
          <w:szCs w:val="20"/>
        </w:rPr>
        <w:t>3 – Ways which you can be authorised</w:t>
      </w:r>
    </w:p>
    <w:p w14:paraId="3A607530" w14:textId="77777777" w:rsidR="00EA2204" w:rsidRPr="00FF40E3" w:rsidRDefault="00EA2204" w:rsidP="00EA2204">
      <w:pPr>
        <w:rPr>
          <w:rFonts w:ascii="Verdana" w:hAnsi="Verdana"/>
          <w:bCs/>
          <w:sz w:val="20"/>
          <w:szCs w:val="20"/>
        </w:rPr>
      </w:pPr>
      <w:r w:rsidRPr="00FF40E3">
        <w:rPr>
          <w:rFonts w:ascii="Verdana" w:hAnsi="Verdana"/>
          <w:bCs/>
          <w:sz w:val="20"/>
          <w:szCs w:val="20"/>
        </w:rPr>
        <w:t>2 – Stage capacity test</w:t>
      </w:r>
    </w:p>
    <w:p w14:paraId="217C9738" w14:textId="77777777" w:rsidR="00EA2204" w:rsidRPr="00FF40E3" w:rsidRDefault="00EA2204" w:rsidP="00EA2204">
      <w:pPr>
        <w:rPr>
          <w:rFonts w:ascii="Verdana" w:hAnsi="Verdana"/>
          <w:bCs/>
          <w:sz w:val="20"/>
          <w:szCs w:val="20"/>
        </w:rPr>
      </w:pPr>
      <w:r w:rsidRPr="00FF40E3">
        <w:rPr>
          <w:rFonts w:ascii="Verdana" w:hAnsi="Verdana"/>
          <w:bCs/>
          <w:sz w:val="20"/>
          <w:szCs w:val="20"/>
        </w:rPr>
        <w:t>1 – Best interests checklist</w:t>
      </w:r>
    </w:p>
    <w:p w14:paraId="43C1FE95" w14:textId="77777777" w:rsidR="00EA2204" w:rsidRPr="00FF40E3" w:rsidRDefault="00EA2204" w:rsidP="00EA2204">
      <w:pPr>
        <w:rPr>
          <w:rFonts w:ascii="Verdana" w:hAnsi="Verdana"/>
          <w:b/>
          <w:bCs/>
          <w:sz w:val="20"/>
          <w:szCs w:val="20"/>
        </w:rPr>
      </w:pPr>
    </w:p>
    <w:p w14:paraId="04507FA9" w14:textId="77777777" w:rsidR="00EA2204" w:rsidRPr="00FF40E3" w:rsidRDefault="00EA2204" w:rsidP="00EA2204">
      <w:pPr>
        <w:rPr>
          <w:rFonts w:ascii="Verdana" w:hAnsi="Verdana"/>
          <w:b/>
          <w:bCs/>
          <w:sz w:val="20"/>
          <w:szCs w:val="20"/>
          <w:u w:val="single"/>
        </w:rPr>
      </w:pPr>
      <w:r w:rsidRPr="00FF40E3">
        <w:rPr>
          <w:rFonts w:ascii="Verdana" w:hAnsi="Verdana"/>
          <w:b/>
          <w:bCs/>
          <w:sz w:val="20"/>
          <w:szCs w:val="20"/>
          <w:u w:val="single"/>
        </w:rPr>
        <w:t>5. Five principles:</w:t>
      </w:r>
    </w:p>
    <w:p w14:paraId="1F3E2E98" w14:textId="77777777" w:rsidR="00EA2204" w:rsidRPr="00FF40E3" w:rsidRDefault="00EA2204" w:rsidP="00EA2204">
      <w:pPr>
        <w:rPr>
          <w:rFonts w:ascii="Verdana" w:hAnsi="Verdana"/>
          <w:b/>
          <w:bCs/>
          <w:sz w:val="20"/>
          <w:szCs w:val="20"/>
        </w:rPr>
      </w:pPr>
    </w:p>
    <w:p w14:paraId="2F8E398A" w14:textId="77777777" w:rsidR="00EA2204" w:rsidRPr="00FF40E3" w:rsidRDefault="00EA2204" w:rsidP="00EA2204">
      <w:pPr>
        <w:rPr>
          <w:rFonts w:ascii="Verdana" w:hAnsi="Verdana"/>
          <w:i/>
          <w:iCs/>
          <w:sz w:val="20"/>
          <w:szCs w:val="20"/>
        </w:rPr>
      </w:pPr>
      <w:r w:rsidRPr="00FF40E3">
        <w:rPr>
          <w:rFonts w:ascii="Verdana" w:hAnsi="Verdana"/>
          <w:b/>
          <w:bCs/>
          <w:sz w:val="20"/>
          <w:szCs w:val="20"/>
        </w:rPr>
        <w:t xml:space="preserve">Principle 1: </w:t>
      </w:r>
      <w:r w:rsidRPr="00FF40E3">
        <w:rPr>
          <w:rFonts w:ascii="Verdana" w:hAnsi="Verdana"/>
          <w:i/>
          <w:iCs/>
          <w:sz w:val="20"/>
          <w:szCs w:val="20"/>
        </w:rPr>
        <w:t>‘A person must be assumed to have capacity unless it is established that he lacks capacity.’ (Section 1(2))</w:t>
      </w:r>
    </w:p>
    <w:p w14:paraId="7E421F12" w14:textId="77777777" w:rsidR="00EA2204" w:rsidRPr="00FF40E3" w:rsidRDefault="00EA2204" w:rsidP="00EA2204">
      <w:pPr>
        <w:rPr>
          <w:rFonts w:ascii="Verdana" w:hAnsi="Verdana"/>
          <w:i/>
          <w:iCs/>
          <w:sz w:val="20"/>
          <w:szCs w:val="20"/>
        </w:rPr>
      </w:pPr>
      <w:r w:rsidRPr="00FF40E3">
        <w:rPr>
          <w:rFonts w:ascii="Verdana" w:hAnsi="Verdana"/>
          <w:b/>
          <w:bCs/>
          <w:sz w:val="20"/>
          <w:szCs w:val="20"/>
        </w:rPr>
        <w:t xml:space="preserve">Principle 2: </w:t>
      </w:r>
      <w:r w:rsidRPr="00FF40E3">
        <w:rPr>
          <w:rFonts w:ascii="Verdana" w:hAnsi="Verdana"/>
          <w:i/>
          <w:iCs/>
          <w:sz w:val="20"/>
          <w:szCs w:val="20"/>
        </w:rPr>
        <w:t>‘A person is not to be treated as unable to make a decision unless all practicable steps to help him to do so have been taken without success.’ Section 1(3))</w:t>
      </w:r>
    </w:p>
    <w:p w14:paraId="49AF01BB" w14:textId="77777777" w:rsidR="00EA2204" w:rsidRPr="00FF40E3" w:rsidRDefault="00EA2204" w:rsidP="00EA2204">
      <w:pPr>
        <w:rPr>
          <w:rFonts w:ascii="Verdana" w:hAnsi="Verdana"/>
          <w:i/>
          <w:iCs/>
          <w:sz w:val="20"/>
          <w:szCs w:val="20"/>
        </w:rPr>
      </w:pPr>
      <w:r w:rsidRPr="00FF40E3">
        <w:rPr>
          <w:rFonts w:ascii="Verdana" w:hAnsi="Verdana"/>
          <w:b/>
          <w:bCs/>
          <w:sz w:val="20"/>
          <w:szCs w:val="20"/>
        </w:rPr>
        <w:t xml:space="preserve">Principle 3: </w:t>
      </w:r>
      <w:r w:rsidRPr="00FF40E3">
        <w:rPr>
          <w:rFonts w:ascii="Verdana" w:hAnsi="Verdana"/>
          <w:i/>
          <w:iCs/>
          <w:sz w:val="20"/>
          <w:szCs w:val="20"/>
        </w:rPr>
        <w:t>‘A person is not to be treated as unable to make a decision merely because he makes an unwise decision.’ (Section 1(4))</w:t>
      </w:r>
    </w:p>
    <w:p w14:paraId="59E23714" w14:textId="77777777" w:rsidR="00EA2204" w:rsidRPr="00FF40E3" w:rsidRDefault="00EA2204" w:rsidP="00EA2204">
      <w:pPr>
        <w:rPr>
          <w:rFonts w:ascii="Verdana" w:hAnsi="Verdana"/>
          <w:i/>
          <w:iCs/>
          <w:sz w:val="20"/>
          <w:szCs w:val="20"/>
        </w:rPr>
      </w:pPr>
      <w:r w:rsidRPr="00FF40E3">
        <w:rPr>
          <w:rFonts w:ascii="Verdana" w:hAnsi="Verdana"/>
          <w:b/>
          <w:bCs/>
          <w:sz w:val="20"/>
          <w:szCs w:val="20"/>
        </w:rPr>
        <w:t xml:space="preserve">Principle 4: </w:t>
      </w:r>
      <w:r w:rsidRPr="00FF40E3">
        <w:rPr>
          <w:rFonts w:ascii="Verdana" w:hAnsi="Verdana"/>
          <w:i/>
          <w:iCs/>
          <w:sz w:val="20"/>
          <w:szCs w:val="20"/>
        </w:rPr>
        <w:t>‘An act done, or decision made, under this Act for or on behalf of a person who lacks capacity must be done, or made, in his best interests.’ Section 1(5))</w:t>
      </w:r>
    </w:p>
    <w:p w14:paraId="5667D36E" w14:textId="77777777" w:rsidR="00EA2204" w:rsidRPr="00FF40E3" w:rsidRDefault="00EA2204" w:rsidP="00EA2204">
      <w:pPr>
        <w:rPr>
          <w:rFonts w:ascii="Verdana" w:hAnsi="Verdana"/>
          <w:i/>
          <w:iCs/>
          <w:sz w:val="20"/>
          <w:szCs w:val="20"/>
        </w:rPr>
      </w:pPr>
      <w:r w:rsidRPr="00FF40E3">
        <w:rPr>
          <w:rFonts w:ascii="Verdana" w:hAnsi="Verdana"/>
          <w:b/>
          <w:bCs/>
          <w:sz w:val="20"/>
          <w:szCs w:val="20"/>
        </w:rPr>
        <w:t xml:space="preserve">Principle 5: </w:t>
      </w:r>
      <w:r w:rsidRPr="00FF40E3">
        <w:rPr>
          <w:rFonts w:ascii="Verdana" w:hAnsi="Verdana"/>
          <w:i/>
          <w:iCs/>
          <w:sz w:val="20"/>
          <w:szCs w:val="20"/>
        </w:rPr>
        <w:t>‘Before the act is done, or the decision is made, regard must be had to whether the purpose for which it is needed can be as effectively achieved in a way that is less restrictive of the person’s rights and freedom of action.’ (Section 1(6))</w:t>
      </w:r>
    </w:p>
    <w:p w14:paraId="682702A4" w14:textId="77777777" w:rsidR="00FF40E3" w:rsidRPr="00FF40E3" w:rsidRDefault="00FF40E3" w:rsidP="00EA2204">
      <w:pPr>
        <w:rPr>
          <w:rFonts w:ascii="Verdana" w:hAnsi="Verdana"/>
          <w:b/>
          <w:iCs/>
          <w:sz w:val="20"/>
          <w:szCs w:val="20"/>
          <w:u w:val="single"/>
        </w:rPr>
      </w:pPr>
    </w:p>
    <w:p w14:paraId="3B9D4C0F" w14:textId="77777777" w:rsidR="00EA2204" w:rsidRPr="00FF40E3" w:rsidRDefault="00EA2204" w:rsidP="00EA2204">
      <w:pPr>
        <w:rPr>
          <w:rFonts w:ascii="Verdana" w:hAnsi="Verdana"/>
          <w:b/>
          <w:iCs/>
          <w:sz w:val="20"/>
          <w:szCs w:val="20"/>
          <w:u w:val="single"/>
        </w:rPr>
      </w:pPr>
      <w:r w:rsidRPr="00FF40E3">
        <w:rPr>
          <w:rFonts w:ascii="Verdana" w:hAnsi="Verdana"/>
          <w:b/>
          <w:iCs/>
          <w:sz w:val="20"/>
          <w:szCs w:val="20"/>
          <w:u w:val="single"/>
        </w:rPr>
        <w:t xml:space="preserve">4. Four questions: </w:t>
      </w:r>
    </w:p>
    <w:p w14:paraId="1C7BA64E" w14:textId="77777777" w:rsidR="00EA2204" w:rsidRPr="00FF40E3" w:rsidRDefault="00EA2204" w:rsidP="00EA2204">
      <w:pPr>
        <w:rPr>
          <w:rFonts w:ascii="Verdana" w:hAnsi="Verdana"/>
          <w:iCs/>
          <w:sz w:val="20"/>
          <w:szCs w:val="20"/>
        </w:rPr>
      </w:pPr>
      <w:r w:rsidRPr="00FF40E3">
        <w:rPr>
          <w:rFonts w:ascii="Verdana" w:hAnsi="Verdana"/>
          <w:b/>
          <w:bCs/>
          <w:sz w:val="20"/>
          <w:szCs w:val="20"/>
        </w:rPr>
        <w:t xml:space="preserve">Stage 2: </w:t>
      </w:r>
      <w:r w:rsidRPr="00FF40E3">
        <w:rPr>
          <w:rFonts w:ascii="Verdana" w:hAnsi="Verdana"/>
          <w:bCs/>
          <w:sz w:val="20"/>
          <w:szCs w:val="20"/>
        </w:rPr>
        <w:t>Does the impairment or disturbance mean that the person is unable to make a specific decision when they need to?</w:t>
      </w:r>
    </w:p>
    <w:p w14:paraId="4EA7C36B" w14:textId="77777777" w:rsidR="00EA2204" w:rsidRPr="00FF40E3" w:rsidRDefault="00EA2204" w:rsidP="00EA2204">
      <w:pPr>
        <w:rPr>
          <w:rFonts w:ascii="Verdana" w:hAnsi="Verdana"/>
          <w:sz w:val="20"/>
          <w:szCs w:val="20"/>
        </w:rPr>
      </w:pPr>
      <w:r w:rsidRPr="00FF40E3">
        <w:rPr>
          <w:rFonts w:ascii="Verdana" w:hAnsi="Verdana"/>
          <w:sz w:val="20"/>
          <w:szCs w:val="20"/>
        </w:rPr>
        <w:t>A person is unable to make a decision if they cannot:</w:t>
      </w:r>
    </w:p>
    <w:p w14:paraId="1500CBD9" w14:textId="77777777" w:rsidR="00EA2204" w:rsidRPr="00FF40E3" w:rsidRDefault="00EA2204" w:rsidP="00EA2204">
      <w:pPr>
        <w:rPr>
          <w:rFonts w:ascii="Verdana" w:hAnsi="Verdana"/>
          <w:sz w:val="20"/>
          <w:szCs w:val="20"/>
        </w:rPr>
      </w:pPr>
      <w:r w:rsidRPr="00FF40E3">
        <w:rPr>
          <w:rFonts w:ascii="Verdana" w:hAnsi="Verdana"/>
          <w:sz w:val="20"/>
          <w:szCs w:val="20"/>
        </w:rPr>
        <w:t>1. Understand information about the decision to be made (the Act calls this ‘relevant information’)</w:t>
      </w:r>
    </w:p>
    <w:p w14:paraId="5A98ED7E" w14:textId="77777777" w:rsidR="00EA2204" w:rsidRPr="00FF40E3" w:rsidRDefault="00EA2204" w:rsidP="00EA2204">
      <w:pPr>
        <w:rPr>
          <w:rFonts w:ascii="Verdana" w:hAnsi="Verdana"/>
          <w:sz w:val="20"/>
          <w:szCs w:val="20"/>
        </w:rPr>
      </w:pPr>
      <w:r w:rsidRPr="00FF40E3">
        <w:rPr>
          <w:rFonts w:ascii="Verdana" w:hAnsi="Verdana"/>
          <w:sz w:val="20"/>
          <w:szCs w:val="20"/>
        </w:rPr>
        <w:t>2. Retain that information in their mind</w:t>
      </w:r>
    </w:p>
    <w:p w14:paraId="37DBD450" w14:textId="77777777" w:rsidR="00EA2204" w:rsidRPr="00FF40E3" w:rsidRDefault="00EA2204" w:rsidP="00EA2204">
      <w:pPr>
        <w:rPr>
          <w:rFonts w:ascii="Verdana" w:hAnsi="Verdana"/>
          <w:sz w:val="20"/>
          <w:szCs w:val="20"/>
        </w:rPr>
      </w:pPr>
      <w:r w:rsidRPr="00FF40E3">
        <w:rPr>
          <w:rFonts w:ascii="Verdana" w:hAnsi="Verdana"/>
          <w:sz w:val="20"/>
          <w:szCs w:val="20"/>
        </w:rPr>
        <w:t>3. Use or weigh that information as part of the decision-making process</w:t>
      </w:r>
    </w:p>
    <w:p w14:paraId="076CDD3A" w14:textId="77777777" w:rsidR="00EA2204" w:rsidRPr="00FF40E3" w:rsidRDefault="00EA2204" w:rsidP="00FF40E3">
      <w:pPr>
        <w:rPr>
          <w:rFonts w:ascii="Verdana" w:hAnsi="Verdana"/>
          <w:iCs/>
          <w:sz w:val="20"/>
          <w:szCs w:val="20"/>
        </w:rPr>
      </w:pPr>
      <w:r w:rsidRPr="00FF40E3">
        <w:rPr>
          <w:rFonts w:ascii="Verdana" w:hAnsi="Verdana"/>
          <w:sz w:val="20"/>
          <w:szCs w:val="20"/>
        </w:rPr>
        <w:lastRenderedPageBreak/>
        <w:t>4. Communicate their decision (by talking, using sign language or any other means). See section 3(1).</w:t>
      </w:r>
    </w:p>
    <w:p w14:paraId="766FBD94" w14:textId="77777777" w:rsidR="00EA2204" w:rsidRPr="00FF40E3" w:rsidRDefault="00EA2204" w:rsidP="00EA2204">
      <w:pPr>
        <w:rPr>
          <w:rFonts w:ascii="Verdana" w:hAnsi="Verdana"/>
          <w:iCs/>
          <w:sz w:val="20"/>
          <w:szCs w:val="20"/>
        </w:rPr>
      </w:pPr>
    </w:p>
    <w:p w14:paraId="37C8C9DB" w14:textId="77777777" w:rsidR="00EA2204" w:rsidRPr="00FF40E3" w:rsidRDefault="00EA2204" w:rsidP="00EA2204">
      <w:pPr>
        <w:rPr>
          <w:rFonts w:ascii="Verdana" w:hAnsi="Verdana"/>
          <w:b/>
          <w:iCs/>
          <w:sz w:val="20"/>
          <w:szCs w:val="20"/>
        </w:rPr>
      </w:pPr>
      <w:r w:rsidRPr="00FF40E3">
        <w:rPr>
          <w:rFonts w:ascii="Verdana" w:hAnsi="Verdana"/>
          <w:b/>
          <w:iCs/>
          <w:sz w:val="20"/>
          <w:szCs w:val="20"/>
        </w:rPr>
        <w:t xml:space="preserve">3. </w:t>
      </w:r>
      <w:r w:rsidRPr="00FF40E3">
        <w:rPr>
          <w:rFonts w:ascii="Verdana" w:hAnsi="Verdana"/>
          <w:b/>
          <w:iCs/>
          <w:sz w:val="20"/>
          <w:szCs w:val="20"/>
          <w:u w:val="single"/>
        </w:rPr>
        <w:t>Three forms of authorisation/consent</w:t>
      </w:r>
    </w:p>
    <w:p w14:paraId="2CF4B066" w14:textId="77777777" w:rsidR="00EA2204" w:rsidRPr="00FF40E3" w:rsidRDefault="00EA2204" w:rsidP="00EA2204">
      <w:pPr>
        <w:numPr>
          <w:ilvl w:val="0"/>
          <w:numId w:val="34"/>
        </w:numPr>
        <w:rPr>
          <w:rFonts w:ascii="Verdana" w:hAnsi="Verdana"/>
          <w:iCs/>
          <w:sz w:val="20"/>
          <w:szCs w:val="20"/>
        </w:rPr>
      </w:pPr>
      <w:r w:rsidRPr="00FF40E3">
        <w:rPr>
          <w:rFonts w:ascii="Verdana" w:hAnsi="Verdana"/>
          <w:iCs/>
          <w:sz w:val="20"/>
          <w:szCs w:val="20"/>
        </w:rPr>
        <w:t>Service user</w:t>
      </w:r>
    </w:p>
    <w:p w14:paraId="42200ABA" w14:textId="77777777" w:rsidR="00EA2204" w:rsidRPr="00FF40E3" w:rsidRDefault="00EA2204" w:rsidP="00EA2204">
      <w:pPr>
        <w:numPr>
          <w:ilvl w:val="0"/>
          <w:numId w:val="34"/>
        </w:numPr>
        <w:rPr>
          <w:rFonts w:ascii="Verdana" w:hAnsi="Verdana"/>
          <w:iCs/>
          <w:sz w:val="20"/>
          <w:szCs w:val="20"/>
        </w:rPr>
      </w:pPr>
      <w:r w:rsidRPr="00FF40E3">
        <w:rPr>
          <w:rFonts w:ascii="Verdana" w:hAnsi="Verdana"/>
          <w:iCs/>
          <w:sz w:val="20"/>
          <w:szCs w:val="20"/>
        </w:rPr>
        <w:t>Person lawfully authorised to consent</w:t>
      </w:r>
    </w:p>
    <w:p w14:paraId="62485AF5" w14:textId="77777777" w:rsidR="00EA2204" w:rsidRPr="00FF40E3" w:rsidRDefault="00EA2204" w:rsidP="00EA2204">
      <w:pPr>
        <w:numPr>
          <w:ilvl w:val="0"/>
          <w:numId w:val="34"/>
        </w:numPr>
        <w:rPr>
          <w:rFonts w:ascii="Verdana" w:hAnsi="Verdana"/>
          <w:iCs/>
          <w:sz w:val="20"/>
          <w:szCs w:val="20"/>
        </w:rPr>
      </w:pPr>
      <w:r w:rsidRPr="00FF40E3">
        <w:rPr>
          <w:rFonts w:ascii="Verdana" w:hAnsi="Verdana"/>
          <w:iCs/>
          <w:sz w:val="20"/>
          <w:szCs w:val="20"/>
        </w:rPr>
        <w:t>Best Interests</w:t>
      </w:r>
    </w:p>
    <w:p w14:paraId="0CD65D99" w14:textId="77777777" w:rsidR="00FF40E3" w:rsidRPr="00FF40E3" w:rsidRDefault="00FF40E3" w:rsidP="00EA2204">
      <w:pPr>
        <w:rPr>
          <w:rFonts w:ascii="Verdana" w:hAnsi="Verdana"/>
          <w:b/>
          <w:iCs/>
          <w:sz w:val="20"/>
          <w:szCs w:val="20"/>
          <w:u w:val="single"/>
        </w:rPr>
      </w:pPr>
    </w:p>
    <w:p w14:paraId="16D15BF9" w14:textId="77777777" w:rsidR="00EA2204" w:rsidRPr="00FF40E3" w:rsidRDefault="00EA2204" w:rsidP="00EA2204">
      <w:pPr>
        <w:rPr>
          <w:rFonts w:ascii="Verdana" w:hAnsi="Verdana"/>
          <w:b/>
          <w:iCs/>
          <w:sz w:val="20"/>
          <w:szCs w:val="20"/>
          <w:u w:val="single"/>
        </w:rPr>
      </w:pPr>
      <w:r w:rsidRPr="00FF40E3">
        <w:rPr>
          <w:rFonts w:ascii="Verdana" w:hAnsi="Verdana"/>
          <w:b/>
          <w:iCs/>
          <w:sz w:val="20"/>
          <w:szCs w:val="20"/>
          <w:u w:val="single"/>
        </w:rPr>
        <w:t>2 Two stage test:</w:t>
      </w:r>
    </w:p>
    <w:p w14:paraId="78C22B6E" w14:textId="77777777" w:rsidR="00EA2204" w:rsidRPr="00FF40E3" w:rsidRDefault="00EA2204" w:rsidP="00EA2204">
      <w:pPr>
        <w:rPr>
          <w:rFonts w:ascii="Verdana" w:hAnsi="Verdana"/>
          <w:iCs/>
          <w:sz w:val="20"/>
          <w:szCs w:val="20"/>
        </w:rPr>
      </w:pPr>
      <w:r w:rsidRPr="00FF40E3">
        <w:rPr>
          <w:rFonts w:ascii="Verdana" w:hAnsi="Verdana"/>
          <w:b/>
          <w:bCs/>
          <w:sz w:val="20"/>
          <w:szCs w:val="20"/>
        </w:rPr>
        <w:t xml:space="preserve">Stage 1: </w:t>
      </w:r>
      <w:r w:rsidRPr="00FF40E3">
        <w:rPr>
          <w:rFonts w:ascii="Verdana" w:hAnsi="Verdana"/>
          <w:bCs/>
          <w:sz w:val="20"/>
          <w:szCs w:val="20"/>
        </w:rPr>
        <w:t>Does the person have an impairment of, or a disturbance in the functioning of, their mind or brain?</w:t>
      </w:r>
    </w:p>
    <w:p w14:paraId="4C092235" w14:textId="77777777" w:rsidR="00EA2204" w:rsidRPr="00FF40E3" w:rsidRDefault="00EA2204" w:rsidP="00EA2204">
      <w:pPr>
        <w:rPr>
          <w:rFonts w:ascii="Verdana" w:hAnsi="Verdana"/>
          <w:iCs/>
          <w:sz w:val="20"/>
          <w:szCs w:val="20"/>
        </w:rPr>
      </w:pPr>
    </w:p>
    <w:p w14:paraId="15721FDA" w14:textId="77777777" w:rsidR="00EA2204" w:rsidRPr="00FF40E3" w:rsidRDefault="00EA2204" w:rsidP="00EA2204">
      <w:pPr>
        <w:rPr>
          <w:rFonts w:ascii="Verdana" w:hAnsi="Verdana"/>
          <w:b/>
          <w:iCs/>
          <w:sz w:val="20"/>
          <w:szCs w:val="20"/>
          <w:u w:val="single"/>
        </w:rPr>
      </w:pPr>
      <w:r w:rsidRPr="00FF40E3">
        <w:rPr>
          <w:rFonts w:ascii="Verdana" w:hAnsi="Verdana"/>
          <w:b/>
          <w:iCs/>
          <w:sz w:val="20"/>
          <w:szCs w:val="20"/>
          <w:u w:val="single"/>
        </w:rPr>
        <w:t>1. Best Interests</w:t>
      </w:r>
    </w:p>
    <w:p w14:paraId="563CA471" w14:textId="77777777" w:rsidR="00EA2204" w:rsidRPr="00FF40E3" w:rsidRDefault="00EA2204" w:rsidP="00EA2204">
      <w:pPr>
        <w:rPr>
          <w:rFonts w:ascii="Verdana" w:hAnsi="Verdana"/>
          <w:iCs/>
          <w:sz w:val="20"/>
          <w:szCs w:val="20"/>
        </w:rPr>
      </w:pPr>
      <w:r w:rsidRPr="00FF40E3">
        <w:rPr>
          <w:rFonts w:ascii="Verdana" w:hAnsi="Verdana"/>
          <w:iCs/>
          <w:sz w:val="20"/>
          <w:szCs w:val="20"/>
        </w:rPr>
        <w:t>One checklist</w:t>
      </w:r>
    </w:p>
    <w:p w14:paraId="6F7D705E" w14:textId="77777777" w:rsidR="00EA2204" w:rsidRPr="00FF40E3" w:rsidRDefault="00EA2204" w:rsidP="00EA2204">
      <w:pPr>
        <w:rPr>
          <w:rFonts w:ascii="Verdana" w:hAnsi="Verdana"/>
          <w:iCs/>
          <w:sz w:val="20"/>
          <w:szCs w:val="20"/>
        </w:rPr>
      </w:pPr>
    </w:p>
    <w:p w14:paraId="3A4CC6E0" w14:textId="77777777" w:rsidR="00EA2204" w:rsidRPr="00FF40E3" w:rsidRDefault="00EA2204" w:rsidP="00EA2204">
      <w:pPr>
        <w:rPr>
          <w:rFonts w:ascii="Verdana" w:hAnsi="Verdana"/>
          <w:sz w:val="20"/>
          <w:szCs w:val="20"/>
          <w:u w:val="single"/>
        </w:rPr>
      </w:pPr>
      <w:r w:rsidRPr="00FF40E3">
        <w:rPr>
          <w:rFonts w:ascii="Verdana" w:hAnsi="Verdana"/>
          <w:sz w:val="20"/>
          <w:szCs w:val="20"/>
          <w:u w:val="single"/>
        </w:rPr>
        <w:t>Deprivation of Liberty:</w:t>
      </w:r>
    </w:p>
    <w:p w14:paraId="2E765B9D" w14:textId="77777777" w:rsidR="00EA2204" w:rsidRPr="00FF40E3" w:rsidRDefault="00EA2204" w:rsidP="00EA2204">
      <w:pPr>
        <w:numPr>
          <w:ilvl w:val="0"/>
          <w:numId w:val="39"/>
        </w:numPr>
        <w:rPr>
          <w:rFonts w:ascii="Verdana" w:hAnsi="Verdana"/>
          <w:sz w:val="20"/>
          <w:szCs w:val="20"/>
        </w:rPr>
      </w:pPr>
      <w:r w:rsidRPr="00FF40E3">
        <w:rPr>
          <w:rFonts w:ascii="Verdana" w:hAnsi="Verdana"/>
          <w:sz w:val="20"/>
          <w:szCs w:val="20"/>
        </w:rPr>
        <w:t>Continuous supervision</w:t>
      </w:r>
    </w:p>
    <w:p w14:paraId="0DA56084" w14:textId="77777777" w:rsidR="00EA2204" w:rsidRPr="00FF40E3" w:rsidRDefault="00EA2204" w:rsidP="00EA2204">
      <w:pPr>
        <w:numPr>
          <w:ilvl w:val="0"/>
          <w:numId w:val="39"/>
        </w:numPr>
        <w:rPr>
          <w:rFonts w:ascii="Verdana" w:hAnsi="Verdana"/>
          <w:sz w:val="20"/>
          <w:szCs w:val="20"/>
        </w:rPr>
      </w:pPr>
      <w:r w:rsidRPr="00FF40E3">
        <w:rPr>
          <w:rFonts w:ascii="Verdana" w:hAnsi="Verdana"/>
          <w:sz w:val="20"/>
          <w:szCs w:val="20"/>
        </w:rPr>
        <w:t>Continuous control</w:t>
      </w:r>
    </w:p>
    <w:p w14:paraId="1C747090" w14:textId="77777777" w:rsidR="00EA2204" w:rsidRPr="00FF40E3" w:rsidRDefault="00EA2204" w:rsidP="00EA2204">
      <w:pPr>
        <w:numPr>
          <w:ilvl w:val="0"/>
          <w:numId w:val="39"/>
        </w:numPr>
        <w:rPr>
          <w:rFonts w:ascii="Verdana" w:hAnsi="Verdana"/>
          <w:sz w:val="20"/>
          <w:szCs w:val="20"/>
        </w:rPr>
      </w:pPr>
      <w:r w:rsidRPr="00FF40E3">
        <w:rPr>
          <w:rFonts w:ascii="Verdana" w:hAnsi="Verdana"/>
          <w:sz w:val="20"/>
          <w:szCs w:val="20"/>
        </w:rPr>
        <w:t>Free to leave</w:t>
      </w:r>
    </w:p>
    <w:p w14:paraId="3A0EF82A" w14:textId="77777777" w:rsidR="00EA2204" w:rsidRPr="00FF40E3" w:rsidRDefault="00EA2204" w:rsidP="00EA2204">
      <w:pPr>
        <w:rPr>
          <w:rFonts w:ascii="Verdana" w:hAnsi="Verdana"/>
          <w:sz w:val="20"/>
          <w:szCs w:val="20"/>
        </w:rPr>
      </w:pPr>
    </w:p>
    <w:p w14:paraId="6B533168" w14:textId="77777777" w:rsidR="00EA2204" w:rsidRPr="00EA2204" w:rsidRDefault="00EA2204" w:rsidP="00EA2204">
      <w:pPr>
        <w:rPr>
          <w:rFonts w:ascii="Verdana" w:hAnsi="Verdana"/>
        </w:rPr>
      </w:pPr>
    </w:p>
    <w:p w14:paraId="719B4DED" w14:textId="77777777" w:rsidR="00EA2204" w:rsidRPr="00EA2204" w:rsidRDefault="00EA2204" w:rsidP="00EA2204">
      <w:pPr>
        <w:rPr>
          <w:rFonts w:ascii="Verdana" w:hAnsi="Verdana"/>
        </w:rPr>
      </w:pPr>
    </w:p>
    <w:p w14:paraId="6E0973B5" w14:textId="77777777" w:rsidR="00EA2204" w:rsidRPr="00EA2204" w:rsidRDefault="00EA2204" w:rsidP="00EA2204">
      <w:pPr>
        <w:rPr>
          <w:rFonts w:ascii="Verdana" w:hAnsi="Verdana"/>
        </w:rPr>
      </w:pPr>
    </w:p>
    <w:p w14:paraId="7BA8D545" w14:textId="77777777" w:rsidR="00EA2204" w:rsidRPr="00EA2204" w:rsidRDefault="00EA2204" w:rsidP="00EA2204">
      <w:pPr>
        <w:rPr>
          <w:rFonts w:ascii="Verdana" w:hAnsi="Verdana"/>
        </w:rPr>
      </w:pPr>
    </w:p>
    <w:p w14:paraId="170AB546" w14:textId="77777777" w:rsidR="001F34A2" w:rsidRPr="00A768E6" w:rsidRDefault="001F34A2" w:rsidP="00A768E6">
      <w:pPr>
        <w:rPr>
          <w:rFonts w:ascii="Verdana" w:hAnsi="Verdana"/>
        </w:rPr>
      </w:pPr>
    </w:p>
    <w:sectPr w:rsidR="001F34A2" w:rsidRPr="00A768E6" w:rsidSect="007408CC">
      <w:headerReference w:type="even" r:id="rId8"/>
      <w:headerReference w:type="default" r:id="rId9"/>
      <w:footerReference w:type="even" r:id="rId10"/>
      <w:footerReference w:type="default" r:id="rId11"/>
      <w:headerReference w:type="first" r:id="rId12"/>
      <w:footerReference w:type="first" r:id="rId13"/>
      <w:pgSz w:w="11906" w:h="16838"/>
      <w:pgMar w:top="2098" w:right="1440" w:bottom="1440" w:left="1440" w:header="567"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0730B" w14:textId="77777777" w:rsidR="00AD2284" w:rsidRDefault="00AD2284" w:rsidP="006A181C">
      <w:pPr>
        <w:spacing w:line="240" w:lineRule="auto"/>
      </w:pPr>
      <w:r>
        <w:separator/>
      </w:r>
    </w:p>
  </w:endnote>
  <w:endnote w:type="continuationSeparator" w:id="0">
    <w:p w14:paraId="04D10399" w14:textId="77777777" w:rsidR="00AD2284" w:rsidRDefault="00AD2284" w:rsidP="006A18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16598" w14:textId="77777777" w:rsidR="00C452AB" w:rsidRDefault="00C45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42807" w14:textId="77777777" w:rsidR="00803750" w:rsidRDefault="00803750" w:rsidP="00803750">
    <w:pPr>
      <w:pStyle w:val="Footer"/>
      <w:jc w:val="center"/>
      <w:rPr>
        <w:sz w:val="16"/>
        <w:szCs w:val="16"/>
      </w:rPr>
    </w:pPr>
    <w:proofErr w:type="spellStart"/>
    <w:r w:rsidRPr="00D37E0C">
      <w:rPr>
        <w:sz w:val="16"/>
        <w:szCs w:val="16"/>
      </w:rPr>
      <w:t>Anexas</w:t>
    </w:r>
    <w:proofErr w:type="spellEnd"/>
    <w:r w:rsidRPr="00D37E0C">
      <w:rPr>
        <w:sz w:val="16"/>
        <w:szCs w:val="16"/>
      </w:rPr>
      <w:t xml:space="preserve"> Care Limited T/ZA Stanholm Residential Care Home for the Elderly</w:t>
    </w:r>
  </w:p>
  <w:p w14:paraId="43B061A5" w14:textId="77777777" w:rsidR="00803750" w:rsidRPr="00D37E0C" w:rsidRDefault="00803750" w:rsidP="00803750">
    <w:pPr>
      <w:pStyle w:val="Footer"/>
      <w:jc w:val="center"/>
      <w:rPr>
        <w:sz w:val="16"/>
        <w:szCs w:val="16"/>
      </w:rPr>
    </w:pPr>
    <w:r w:rsidRPr="00D37E0C">
      <w:rPr>
        <w:sz w:val="16"/>
        <w:szCs w:val="16"/>
      </w:rPr>
      <w:t>Reg. Office : 826 Garret Lane London SW17 OLZ (Inc. In England No.5520560)</w:t>
    </w:r>
  </w:p>
  <w:p w14:paraId="6C937EF4" w14:textId="77777777" w:rsidR="00655062" w:rsidRPr="00655062" w:rsidRDefault="00655062" w:rsidP="00655062">
    <w:pPr>
      <w:widowControl w:val="0"/>
      <w:ind w:left="-1134" w:right="-1056"/>
      <w:jc w:val="center"/>
      <w:rPr>
        <w:color w:val="808080" w:themeColor="background1" w:themeShade="80"/>
        <w:sz w:val="16"/>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0CC4A" w14:textId="77777777" w:rsidR="00C452AB" w:rsidRDefault="00C45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06EB0" w14:textId="77777777" w:rsidR="00AD2284" w:rsidRDefault="00AD2284" w:rsidP="006A181C">
      <w:pPr>
        <w:spacing w:line="240" w:lineRule="auto"/>
      </w:pPr>
      <w:r>
        <w:separator/>
      </w:r>
    </w:p>
  </w:footnote>
  <w:footnote w:type="continuationSeparator" w:id="0">
    <w:p w14:paraId="1051ADB7" w14:textId="77777777" w:rsidR="00AD2284" w:rsidRDefault="00AD2284" w:rsidP="006A18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EF159" w14:textId="77777777" w:rsidR="00C452AB" w:rsidRDefault="00C45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3B1BF" w14:textId="2C9AF49D" w:rsidR="00F829FA" w:rsidRDefault="004154FB" w:rsidP="004154FB">
    <w:pPr>
      <w:pStyle w:val="Header"/>
      <w:jc w:val="center"/>
    </w:pPr>
    <w:r>
      <w:rPr>
        <w:noProof/>
      </w:rPr>
      <w:drawing>
        <wp:inline distT="0" distB="0" distL="0" distR="0" wp14:anchorId="4FA6FE21" wp14:editId="0881EE05">
          <wp:extent cx="2657475" cy="1319501"/>
          <wp:effectExtent l="0" t="0" r="0" b="0"/>
          <wp:docPr id="2" name="Picture 2"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1).png"/>
                  <pic:cNvPicPr/>
                </pic:nvPicPr>
                <pic:blipFill>
                  <a:blip r:embed="rId1">
                    <a:extLst>
                      <a:ext uri="{28A0092B-C50C-407E-A947-70E740481C1C}">
                        <a14:useLocalDpi xmlns:a14="http://schemas.microsoft.com/office/drawing/2010/main" val="0"/>
                      </a:ext>
                    </a:extLst>
                  </a:blip>
                  <a:stretch>
                    <a:fillRect/>
                  </a:stretch>
                </pic:blipFill>
                <pic:spPr>
                  <a:xfrm>
                    <a:off x="0" y="0"/>
                    <a:ext cx="2684165" cy="1332753"/>
                  </a:xfrm>
                  <a:prstGeom prst="rect">
                    <a:avLst/>
                  </a:prstGeom>
                </pic:spPr>
              </pic:pic>
            </a:graphicData>
          </a:graphic>
        </wp:inline>
      </w:drawing>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BF1F1" w14:textId="77777777" w:rsidR="00C452AB" w:rsidRDefault="00C45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59F4"/>
    <w:multiLevelType w:val="hybridMultilevel"/>
    <w:tmpl w:val="72E6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419AD"/>
    <w:multiLevelType w:val="hybridMultilevel"/>
    <w:tmpl w:val="7C926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13D96"/>
    <w:multiLevelType w:val="hybridMultilevel"/>
    <w:tmpl w:val="E8E8C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92151"/>
    <w:multiLevelType w:val="hybridMultilevel"/>
    <w:tmpl w:val="ADDA2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06099"/>
    <w:multiLevelType w:val="hybridMultilevel"/>
    <w:tmpl w:val="4754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F0F20"/>
    <w:multiLevelType w:val="hybridMultilevel"/>
    <w:tmpl w:val="93C6B1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9D220B"/>
    <w:multiLevelType w:val="hybridMultilevel"/>
    <w:tmpl w:val="71287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45702"/>
    <w:multiLevelType w:val="hybridMultilevel"/>
    <w:tmpl w:val="589CB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4A0AB7"/>
    <w:multiLevelType w:val="hybridMultilevel"/>
    <w:tmpl w:val="82AEE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754574"/>
    <w:multiLevelType w:val="hybridMultilevel"/>
    <w:tmpl w:val="E7A09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660460"/>
    <w:multiLevelType w:val="hybridMultilevel"/>
    <w:tmpl w:val="3386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FD3B08"/>
    <w:multiLevelType w:val="hybridMultilevel"/>
    <w:tmpl w:val="7BD88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467D19"/>
    <w:multiLevelType w:val="hybridMultilevel"/>
    <w:tmpl w:val="F8C8A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C67E17"/>
    <w:multiLevelType w:val="hybridMultilevel"/>
    <w:tmpl w:val="0E648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F2150E"/>
    <w:multiLevelType w:val="hybridMultilevel"/>
    <w:tmpl w:val="F04E8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C21AA7"/>
    <w:multiLevelType w:val="hybridMultilevel"/>
    <w:tmpl w:val="72C46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0547CE"/>
    <w:multiLevelType w:val="hybridMultilevel"/>
    <w:tmpl w:val="E9983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DB1943"/>
    <w:multiLevelType w:val="hybridMultilevel"/>
    <w:tmpl w:val="CF42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503DB4"/>
    <w:multiLevelType w:val="hybridMultilevel"/>
    <w:tmpl w:val="BF327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8B2208"/>
    <w:multiLevelType w:val="hybridMultilevel"/>
    <w:tmpl w:val="69685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3A1D97"/>
    <w:multiLevelType w:val="hybridMultilevel"/>
    <w:tmpl w:val="DEDC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EC2A88"/>
    <w:multiLevelType w:val="hybridMultilevel"/>
    <w:tmpl w:val="1F46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4243AB"/>
    <w:multiLevelType w:val="hybridMultilevel"/>
    <w:tmpl w:val="38B04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984204"/>
    <w:multiLevelType w:val="hybridMultilevel"/>
    <w:tmpl w:val="B1D6F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0E609E"/>
    <w:multiLevelType w:val="hybridMultilevel"/>
    <w:tmpl w:val="D25E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CF4297"/>
    <w:multiLevelType w:val="hybridMultilevel"/>
    <w:tmpl w:val="C1928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1A1710"/>
    <w:multiLevelType w:val="hybridMultilevel"/>
    <w:tmpl w:val="ED94C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3604C9"/>
    <w:multiLevelType w:val="hybridMultilevel"/>
    <w:tmpl w:val="A190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7A5F62"/>
    <w:multiLevelType w:val="hybridMultilevel"/>
    <w:tmpl w:val="E3EC5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911443"/>
    <w:multiLevelType w:val="hybridMultilevel"/>
    <w:tmpl w:val="FC748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916243"/>
    <w:multiLevelType w:val="hybridMultilevel"/>
    <w:tmpl w:val="F07A094C"/>
    <w:lvl w:ilvl="0" w:tplc="07A80DEE">
      <w:start w:val="1"/>
      <w:numFmt w:val="bullet"/>
      <w:lvlText w:val="•"/>
      <w:lvlJc w:val="left"/>
      <w:pPr>
        <w:tabs>
          <w:tab w:val="num" w:pos="720"/>
        </w:tabs>
        <w:ind w:left="720" w:hanging="360"/>
      </w:pPr>
      <w:rPr>
        <w:rFonts w:ascii="Arial" w:hAnsi="Arial" w:hint="default"/>
      </w:rPr>
    </w:lvl>
    <w:lvl w:ilvl="1" w:tplc="E2E650C2" w:tentative="1">
      <w:start w:val="1"/>
      <w:numFmt w:val="bullet"/>
      <w:lvlText w:val="•"/>
      <w:lvlJc w:val="left"/>
      <w:pPr>
        <w:tabs>
          <w:tab w:val="num" w:pos="1440"/>
        </w:tabs>
        <w:ind w:left="1440" w:hanging="360"/>
      </w:pPr>
      <w:rPr>
        <w:rFonts w:ascii="Arial" w:hAnsi="Arial" w:hint="default"/>
      </w:rPr>
    </w:lvl>
    <w:lvl w:ilvl="2" w:tplc="743EE7A4" w:tentative="1">
      <w:start w:val="1"/>
      <w:numFmt w:val="bullet"/>
      <w:lvlText w:val="•"/>
      <w:lvlJc w:val="left"/>
      <w:pPr>
        <w:tabs>
          <w:tab w:val="num" w:pos="2160"/>
        </w:tabs>
        <w:ind w:left="2160" w:hanging="360"/>
      </w:pPr>
      <w:rPr>
        <w:rFonts w:ascii="Arial" w:hAnsi="Arial" w:hint="default"/>
      </w:rPr>
    </w:lvl>
    <w:lvl w:ilvl="3" w:tplc="430CA222" w:tentative="1">
      <w:start w:val="1"/>
      <w:numFmt w:val="bullet"/>
      <w:lvlText w:val="•"/>
      <w:lvlJc w:val="left"/>
      <w:pPr>
        <w:tabs>
          <w:tab w:val="num" w:pos="2880"/>
        </w:tabs>
        <w:ind w:left="2880" w:hanging="360"/>
      </w:pPr>
      <w:rPr>
        <w:rFonts w:ascii="Arial" w:hAnsi="Arial" w:hint="default"/>
      </w:rPr>
    </w:lvl>
    <w:lvl w:ilvl="4" w:tplc="950EA6C2" w:tentative="1">
      <w:start w:val="1"/>
      <w:numFmt w:val="bullet"/>
      <w:lvlText w:val="•"/>
      <w:lvlJc w:val="left"/>
      <w:pPr>
        <w:tabs>
          <w:tab w:val="num" w:pos="3600"/>
        </w:tabs>
        <w:ind w:left="3600" w:hanging="360"/>
      </w:pPr>
      <w:rPr>
        <w:rFonts w:ascii="Arial" w:hAnsi="Arial" w:hint="default"/>
      </w:rPr>
    </w:lvl>
    <w:lvl w:ilvl="5" w:tplc="CC3A42BE" w:tentative="1">
      <w:start w:val="1"/>
      <w:numFmt w:val="bullet"/>
      <w:lvlText w:val="•"/>
      <w:lvlJc w:val="left"/>
      <w:pPr>
        <w:tabs>
          <w:tab w:val="num" w:pos="4320"/>
        </w:tabs>
        <w:ind w:left="4320" w:hanging="360"/>
      </w:pPr>
      <w:rPr>
        <w:rFonts w:ascii="Arial" w:hAnsi="Arial" w:hint="default"/>
      </w:rPr>
    </w:lvl>
    <w:lvl w:ilvl="6" w:tplc="EE003D0E" w:tentative="1">
      <w:start w:val="1"/>
      <w:numFmt w:val="bullet"/>
      <w:lvlText w:val="•"/>
      <w:lvlJc w:val="left"/>
      <w:pPr>
        <w:tabs>
          <w:tab w:val="num" w:pos="5040"/>
        </w:tabs>
        <w:ind w:left="5040" w:hanging="360"/>
      </w:pPr>
      <w:rPr>
        <w:rFonts w:ascii="Arial" w:hAnsi="Arial" w:hint="default"/>
      </w:rPr>
    </w:lvl>
    <w:lvl w:ilvl="7" w:tplc="B9929AC8" w:tentative="1">
      <w:start w:val="1"/>
      <w:numFmt w:val="bullet"/>
      <w:lvlText w:val="•"/>
      <w:lvlJc w:val="left"/>
      <w:pPr>
        <w:tabs>
          <w:tab w:val="num" w:pos="5760"/>
        </w:tabs>
        <w:ind w:left="5760" w:hanging="360"/>
      </w:pPr>
      <w:rPr>
        <w:rFonts w:ascii="Arial" w:hAnsi="Arial" w:hint="default"/>
      </w:rPr>
    </w:lvl>
    <w:lvl w:ilvl="8" w:tplc="92FA1A9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1D93E64"/>
    <w:multiLevelType w:val="hybridMultilevel"/>
    <w:tmpl w:val="9E4C5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D56A4A"/>
    <w:multiLevelType w:val="hybridMultilevel"/>
    <w:tmpl w:val="D63E9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4B074A"/>
    <w:multiLevelType w:val="hybridMultilevel"/>
    <w:tmpl w:val="E556A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F100EF"/>
    <w:multiLevelType w:val="hybridMultilevel"/>
    <w:tmpl w:val="EC96C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6F585F"/>
    <w:multiLevelType w:val="hybridMultilevel"/>
    <w:tmpl w:val="55AAD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77130C"/>
    <w:multiLevelType w:val="hybridMultilevel"/>
    <w:tmpl w:val="C64AB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5C53F6"/>
    <w:multiLevelType w:val="hybridMultilevel"/>
    <w:tmpl w:val="74E61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076A95"/>
    <w:multiLevelType w:val="hybridMultilevel"/>
    <w:tmpl w:val="5514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8C12C4"/>
    <w:multiLevelType w:val="hybridMultilevel"/>
    <w:tmpl w:val="4F84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19"/>
  </w:num>
  <w:num w:numId="3">
    <w:abstractNumId w:val="34"/>
  </w:num>
  <w:num w:numId="4">
    <w:abstractNumId w:val="8"/>
  </w:num>
  <w:num w:numId="5">
    <w:abstractNumId w:val="15"/>
  </w:num>
  <w:num w:numId="6">
    <w:abstractNumId w:val="5"/>
  </w:num>
  <w:num w:numId="7">
    <w:abstractNumId w:val="36"/>
  </w:num>
  <w:num w:numId="8">
    <w:abstractNumId w:val="37"/>
  </w:num>
  <w:num w:numId="9">
    <w:abstractNumId w:val="21"/>
  </w:num>
  <w:num w:numId="10">
    <w:abstractNumId w:val="9"/>
  </w:num>
  <w:num w:numId="11">
    <w:abstractNumId w:val="7"/>
  </w:num>
  <w:num w:numId="12">
    <w:abstractNumId w:val="2"/>
  </w:num>
  <w:num w:numId="13">
    <w:abstractNumId w:val="10"/>
  </w:num>
  <w:num w:numId="14">
    <w:abstractNumId w:val="38"/>
  </w:num>
  <w:num w:numId="15">
    <w:abstractNumId w:val="25"/>
  </w:num>
  <w:num w:numId="16">
    <w:abstractNumId w:val="6"/>
  </w:num>
  <w:num w:numId="17">
    <w:abstractNumId w:val="17"/>
  </w:num>
  <w:num w:numId="18">
    <w:abstractNumId w:val="22"/>
  </w:num>
  <w:num w:numId="19">
    <w:abstractNumId w:val="35"/>
  </w:num>
  <w:num w:numId="20">
    <w:abstractNumId w:val="24"/>
  </w:num>
  <w:num w:numId="21">
    <w:abstractNumId w:val="23"/>
  </w:num>
  <w:num w:numId="22">
    <w:abstractNumId w:val="4"/>
  </w:num>
  <w:num w:numId="23">
    <w:abstractNumId w:val="3"/>
  </w:num>
  <w:num w:numId="24">
    <w:abstractNumId w:val="29"/>
  </w:num>
  <w:num w:numId="25">
    <w:abstractNumId w:val="18"/>
  </w:num>
  <w:num w:numId="26">
    <w:abstractNumId w:val="16"/>
  </w:num>
  <w:num w:numId="27">
    <w:abstractNumId w:val="27"/>
  </w:num>
  <w:num w:numId="28">
    <w:abstractNumId w:val="14"/>
  </w:num>
  <w:num w:numId="29">
    <w:abstractNumId w:val="39"/>
  </w:num>
  <w:num w:numId="30">
    <w:abstractNumId w:val="12"/>
  </w:num>
  <w:num w:numId="31">
    <w:abstractNumId w:val="11"/>
  </w:num>
  <w:num w:numId="32">
    <w:abstractNumId w:val="13"/>
  </w:num>
  <w:num w:numId="33">
    <w:abstractNumId w:val="33"/>
  </w:num>
  <w:num w:numId="34">
    <w:abstractNumId w:val="26"/>
  </w:num>
  <w:num w:numId="35">
    <w:abstractNumId w:val="28"/>
  </w:num>
  <w:num w:numId="36">
    <w:abstractNumId w:val="30"/>
  </w:num>
  <w:num w:numId="37">
    <w:abstractNumId w:val="0"/>
  </w:num>
  <w:num w:numId="38">
    <w:abstractNumId w:val="20"/>
  </w:num>
  <w:num w:numId="39">
    <w:abstractNumId w:val="1"/>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81C"/>
    <w:rsid w:val="000047A5"/>
    <w:rsid w:val="00011B0A"/>
    <w:rsid w:val="00063867"/>
    <w:rsid w:val="00080A53"/>
    <w:rsid w:val="000B16C4"/>
    <w:rsid w:val="000C777C"/>
    <w:rsid w:val="000F096F"/>
    <w:rsid w:val="000F3D99"/>
    <w:rsid w:val="00106839"/>
    <w:rsid w:val="00133AF3"/>
    <w:rsid w:val="0015492A"/>
    <w:rsid w:val="00183D22"/>
    <w:rsid w:val="001B45FD"/>
    <w:rsid w:val="001F34A2"/>
    <w:rsid w:val="00236A32"/>
    <w:rsid w:val="0024012C"/>
    <w:rsid w:val="00270019"/>
    <w:rsid w:val="0029219E"/>
    <w:rsid w:val="002A7F21"/>
    <w:rsid w:val="002C5CC9"/>
    <w:rsid w:val="002D73B0"/>
    <w:rsid w:val="0032337F"/>
    <w:rsid w:val="00331B8E"/>
    <w:rsid w:val="003351E1"/>
    <w:rsid w:val="003622C1"/>
    <w:rsid w:val="00384BAB"/>
    <w:rsid w:val="003C7894"/>
    <w:rsid w:val="003E34CC"/>
    <w:rsid w:val="004154FB"/>
    <w:rsid w:val="00426B7C"/>
    <w:rsid w:val="00471395"/>
    <w:rsid w:val="005426C1"/>
    <w:rsid w:val="00557126"/>
    <w:rsid w:val="00562239"/>
    <w:rsid w:val="005759B1"/>
    <w:rsid w:val="005765C4"/>
    <w:rsid w:val="005B45B3"/>
    <w:rsid w:val="005E1648"/>
    <w:rsid w:val="00650D0A"/>
    <w:rsid w:val="00655062"/>
    <w:rsid w:val="006A181C"/>
    <w:rsid w:val="006D1DA1"/>
    <w:rsid w:val="007350C5"/>
    <w:rsid w:val="007408CC"/>
    <w:rsid w:val="007456DF"/>
    <w:rsid w:val="00803750"/>
    <w:rsid w:val="00823A51"/>
    <w:rsid w:val="00827146"/>
    <w:rsid w:val="00871200"/>
    <w:rsid w:val="008854D0"/>
    <w:rsid w:val="008C22FF"/>
    <w:rsid w:val="008E5BA9"/>
    <w:rsid w:val="009050B0"/>
    <w:rsid w:val="0094584B"/>
    <w:rsid w:val="009A7033"/>
    <w:rsid w:val="009B4665"/>
    <w:rsid w:val="009B55B1"/>
    <w:rsid w:val="009D5E56"/>
    <w:rsid w:val="00A02C36"/>
    <w:rsid w:val="00A03677"/>
    <w:rsid w:val="00A0495A"/>
    <w:rsid w:val="00A06896"/>
    <w:rsid w:val="00A768E6"/>
    <w:rsid w:val="00AC35BC"/>
    <w:rsid w:val="00AC6365"/>
    <w:rsid w:val="00AD2284"/>
    <w:rsid w:val="00AD7F1A"/>
    <w:rsid w:val="00AF7344"/>
    <w:rsid w:val="00B02D32"/>
    <w:rsid w:val="00B22BFC"/>
    <w:rsid w:val="00B51F97"/>
    <w:rsid w:val="00B602AB"/>
    <w:rsid w:val="00BA2AD9"/>
    <w:rsid w:val="00BA3FDE"/>
    <w:rsid w:val="00BA7B59"/>
    <w:rsid w:val="00BB4394"/>
    <w:rsid w:val="00BB713A"/>
    <w:rsid w:val="00C452AB"/>
    <w:rsid w:val="00C53071"/>
    <w:rsid w:val="00C67D1F"/>
    <w:rsid w:val="00C76FA0"/>
    <w:rsid w:val="00C81E47"/>
    <w:rsid w:val="00C82D5F"/>
    <w:rsid w:val="00CA73E6"/>
    <w:rsid w:val="00D0781D"/>
    <w:rsid w:val="00D837CC"/>
    <w:rsid w:val="00DC0F18"/>
    <w:rsid w:val="00DC35D0"/>
    <w:rsid w:val="00DD0434"/>
    <w:rsid w:val="00DD1C95"/>
    <w:rsid w:val="00DE71E6"/>
    <w:rsid w:val="00DF4534"/>
    <w:rsid w:val="00E017C7"/>
    <w:rsid w:val="00E0536F"/>
    <w:rsid w:val="00E10C86"/>
    <w:rsid w:val="00E50136"/>
    <w:rsid w:val="00E53251"/>
    <w:rsid w:val="00E811E9"/>
    <w:rsid w:val="00E86BEB"/>
    <w:rsid w:val="00E91797"/>
    <w:rsid w:val="00EA2204"/>
    <w:rsid w:val="00EB019E"/>
    <w:rsid w:val="00F67108"/>
    <w:rsid w:val="00F76C92"/>
    <w:rsid w:val="00F829FA"/>
    <w:rsid w:val="00FD3B9D"/>
    <w:rsid w:val="00FD4EB4"/>
    <w:rsid w:val="00FF4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1782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8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next w:val="Normal"/>
    <w:link w:val="Heading3Char"/>
    <w:qFormat/>
    <w:rsid w:val="00DD1C95"/>
    <w:pPr>
      <w:keepNext/>
      <w:spacing w:line="240" w:lineRule="auto"/>
      <w:outlineLvl w:val="2"/>
    </w:pPr>
    <w:rPr>
      <w:rFonts w:ascii="Tahoma" w:eastAsia="Times New Roman" w:hAnsi="Tahom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Lace"/>
    <w:basedOn w:val="TableNormal"/>
    <w:uiPriority w:val="59"/>
    <w:rsid w:val="00E10C86"/>
    <w:pPr>
      <w:spacing w:line="240" w:lineRule="auto"/>
    </w:pPr>
    <w:rPr>
      <w:rFonts w:ascii="Arial" w:hAnsi="Arial"/>
    </w:rPr>
    <w:tblPr>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Pr>
    <w:tblStylePr w:type="firstRow">
      <w:rPr>
        <w:rFonts w:ascii="Arial" w:hAnsi="Arial"/>
        <w:b/>
        <w:color w:val="1F497D" w:themeColor="text2"/>
        <w:sz w:val="22"/>
      </w:rPr>
      <w:tblPr/>
      <w:tcPr>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l2br w:val="nil"/>
          <w:tr2bl w:val="nil"/>
        </w:tcBorders>
        <w:shd w:val="clear" w:color="auto" w:fill="B6DDE8" w:themeFill="accent5" w:themeFillTint="66"/>
      </w:tcPr>
    </w:tblStylePr>
  </w:style>
  <w:style w:type="paragraph" w:styleId="BalloonText">
    <w:name w:val="Balloon Text"/>
    <w:basedOn w:val="Normal"/>
    <w:link w:val="BalloonTextChar"/>
    <w:uiPriority w:val="99"/>
    <w:semiHidden/>
    <w:unhideWhenUsed/>
    <w:rsid w:val="006A18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81C"/>
    <w:rPr>
      <w:rFonts w:ascii="Tahoma" w:hAnsi="Tahoma" w:cs="Tahoma"/>
      <w:sz w:val="16"/>
      <w:szCs w:val="16"/>
    </w:rPr>
  </w:style>
  <w:style w:type="paragraph" w:styleId="Header">
    <w:name w:val="header"/>
    <w:basedOn w:val="Normal"/>
    <w:link w:val="HeaderChar"/>
    <w:uiPriority w:val="99"/>
    <w:unhideWhenUsed/>
    <w:rsid w:val="006A181C"/>
    <w:pPr>
      <w:tabs>
        <w:tab w:val="center" w:pos="4513"/>
        <w:tab w:val="right" w:pos="9026"/>
      </w:tabs>
      <w:spacing w:line="240" w:lineRule="auto"/>
    </w:pPr>
  </w:style>
  <w:style w:type="character" w:customStyle="1" w:styleId="HeaderChar">
    <w:name w:val="Header Char"/>
    <w:basedOn w:val="DefaultParagraphFont"/>
    <w:link w:val="Header"/>
    <w:uiPriority w:val="99"/>
    <w:rsid w:val="006A181C"/>
  </w:style>
  <w:style w:type="paragraph" w:styleId="Footer">
    <w:name w:val="footer"/>
    <w:basedOn w:val="Normal"/>
    <w:link w:val="FooterChar"/>
    <w:uiPriority w:val="99"/>
    <w:unhideWhenUsed/>
    <w:rsid w:val="006A181C"/>
    <w:pPr>
      <w:tabs>
        <w:tab w:val="center" w:pos="4513"/>
        <w:tab w:val="right" w:pos="9026"/>
      </w:tabs>
      <w:spacing w:line="240" w:lineRule="auto"/>
    </w:pPr>
  </w:style>
  <w:style w:type="character" w:customStyle="1" w:styleId="FooterChar">
    <w:name w:val="Footer Char"/>
    <w:basedOn w:val="DefaultParagraphFont"/>
    <w:link w:val="Footer"/>
    <w:uiPriority w:val="99"/>
    <w:rsid w:val="006A181C"/>
  </w:style>
  <w:style w:type="paragraph" w:styleId="NoSpacing">
    <w:name w:val="No Spacing"/>
    <w:uiPriority w:val="1"/>
    <w:qFormat/>
    <w:rsid w:val="00BA7B59"/>
    <w:pPr>
      <w:spacing w:line="240" w:lineRule="auto"/>
    </w:pPr>
  </w:style>
  <w:style w:type="character" w:styleId="Hyperlink">
    <w:name w:val="Hyperlink"/>
    <w:basedOn w:val="DefaultParagraphFont"/>
    <w:uiPriority w:val="99"/>
    <w:unhideWhenUsed/>
    <w:rsid w:val="00655062"/>
    <w:rPr>
      <w:color w:val="0000FF" w:themeColor="hyperlink"/>
      <w:u w:val="single"/>
    </w:rPr>
  </w:style>
  <w:style w:type="paragraph" w:styleId="ListParagraph">
    <w:name w:val="List Paragraph"/>
    <w:basedOn w:val="Normal"/>
    <w:uiPriority w:val="34"/>
    <w:qFormat/>
    <w:rsid w:val="00D837CC"/>
    <w:pPr>
      <w:spacing w:after="120" w:line="285" w:lineRule="auto"/>
      <w:ind w:left="720"/>
      <w:contextualSpacing/>
    </w:pPr>
    <w:rPr>
      <w:rFonts w:ascii="Calibri" w:eastAsia="Times New Roman" w:hAnsi="Calibri" w:cs="Calibri"/>
      <w:color w:val="000000"/>
      <w:kern w:val="28"/>
      <w:sz w:val="20"/>
      <w:szCs w:val="20"/>
      <w:lang w:eastAsia="en-GB"/>
    </w:rPr>
  </w:style>
  <w:style w:type="character" w:customStyle="1" w:styleId="Heading3Char">
    <w:name w:val="Heading 3 Char"/>
    <w:basedOn w:val="DefaultParagraphFont"/>
    <w:link w:val="Heading3"/>
    <w:rsid w:val="00DD1C95"/>
    <w:rPr>
      <w:rFonts w:ascii="Tahoma" w:eastAsia="Times New Roman" w:hAnsi="Tahoma" w:cs="Times New Roman"/>
      <w:b/>
      <w:bCs/>
      <w:sz w:val="24"/>
      <w:szCs w:val="24"/>
    </w:rPr>
  </w:style>
  <w:style w:type="table" w:customStyle="1" w:styleId="TableGrid1">
    <w:name w:val="Table Grid1"/>
    <w:basedOn w:val="TableNormal"/>
    <w:next w:val="TableGrid"/>
    <w:uiPriority w:val="59"/>
    <w:rsid w:val="002C5CC9"/>
    <w:pPr>
      <w:spacing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73E6"/>
    <w:pPr>
      <w:autoSpaceDE w:val="0"/>
      <w:autoSpaceDN w:val="0"/>
      <w:adjustRightInd w:val="0"/>
      <w:spacing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345965">
      <w:bodyDiv w:val="1"/>
      <w:marLeft w:val="0"/>
      <w:marRight w:val="0"/>
      <w:marTop w:val="0"/>
      <w:marBottom w:val="0"/>
      <w:divBdr>
        <w:top w:val="none" w:sz="0" w:space="0" w:color="auto"/>
        <w:left w:val="none" w:sz="0" w:space="0" w:color="auto"/>
        <w:bottom w:val="none" w:sz="0" w:space="0" w:color="auto"/>
        <w:right w:val="none" w:sz="0" w:space="0" w:color="auto"/>
      </w:divBdr>
    </w:div>
    <w:div w:id="111510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28481-E98D-46BA-9EC9-BB11C1EB7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and D Howells</dc:creator>
  <cp:lastModifiedBy>Stanholm Care Home</cp:lastModifiedBy>
  <cp:revision>15</cp:revision>
  <cp:lastPrinted>2014-10-31T12:30:00Z</cp:lastPrinted>
  <dcterms:created xsi:type="dcterms:W3CDTF">2017-03-30T10:29:00Z</dcterms:created>
  <dcterms:modified xsi:type="dcterms:W3CDTF">2020-02-11T10:11:00Z</dcterms:modified>
</cp:coreProperties>
</file>